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jc w:val="center"/>
        <w:textAlignment w:val="auto"/>
        <w:outlineLvl w:val="9"/>
        <w:rPr>
          <w:rFonts w:hint="eastAsia"/>
          <w:b/>
          <w:bCs/>
          <w:color w:val="auto"/>
          <w:sz w:val="44"/>
          <w:szCs w:val="44"/>
          <w:highlight w:val="none"/>
        </w:rPr>
      </w:pPr>
      <w:bookmarkStart w:id="793" w:name="_GoBack"/>
      <w:bookmarkEnd w:id="793"/>
    </w:p>
    <w:p>
      <w:pPr>
        <w:pageBreakBefore w:val="0"/>
        <w:widowControl/>
        <w:wordWrap/>
        <w:overflowPunct/>
        <w:autoSpaceDE/>
        <w:autoSpaceDN/>
        <w:bidi w:val="0"/>
        <w:spacing w:line="530" w:lineRule="exact"/>
        <w:ind w:firstLine="0" w:firstLineChars="0"/>
        <w:jc w:val="center"/>
        <w:rPr>
          <w:rFonts w:ascii="Times New Roman" w:hAnsi="Times New Roman" w:eastAsia="方正公文小标宋" w:cs="Times New Roman"/>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rPr>
          <w:rFonts w:ascii="Times New Roman" w:hAnsi="Times New Roman" w:eastAsia="方正公文小标宋" w:cs="Times New Roman"/>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rPr>
          <w:rFonts w:ascii="Times New Roman" w:hAnsi="Times New Roman" w:eastAsia="方正公文小标宋" w:cs="Times New Roman"/>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rPr>
          <w:rFonts w:ascii="Times New Roman" w:hAnsi="Times New Roman" w:eastAsia="方正公文小标宋" w:cs="Times New Roman"/>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rPr>
          <w:rFonts w:ascii="Times New Roman" w:hAnsi="Times New Roman" w:eastAsia="方正公文小标宋" w:cs="Times New Roman"/>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rPr>
          <w:rFonts w:hint="eastAsia" w:ascii="方正小标宋简体" w:hAnsi="方正小标宋简体" w:eastAsia="方正小标宋简体" w:cs="方正小标宋简体"/>
          <w:color w:val="auto"/>
          <w:kern w:val="0"/>
          <w:sz w:val="52"/>
          <w:szCs w:val="52"/>
          <w:highlight w:val="none"/>
          <w:lang w:bidi="ar"/>
        </w:rPr>
      </w:pPr>
    </w:p>
    <w:p>
      <w:pPr>
        <w:pageBreakBefore w:val="0"/>
        <w:widowControl/>
        <w:wordWrap/>
        <w:overflowPunct/>
        <w:autoSpaceDE/>
        <w:autoSpaceDN/>
        <w:bidi w:val="0"/>
        <w:spacing w:line="530" w:lineRule="exact"/>
        <w:ind w:firstLine="0" w:firstLineChars="0"/>
        <w:jc w:val="center"/>
        <w:outlineLvl w:val="0"/>
        <w:rPr>
          <w:rFonts w:hint="eastAsia" w:ascii="方正小标宋简体" w:hAnsi="方正小标宋简体" w:eastAsia="方正小标宋简体" w:cs="方正小标宋简体"/>
          <w:color w:val="auto"/>
          <w:kern w:val="0"/>
          <w:sz w:val="52"/>
          <w:szCs w:val="52"/>
          <w:highlight w:val="none"/>
          <w:lang w:bidi="ar"/>
        </w:rPr>
      </w:pPr>
      <w:bookmarkStart w:id="0" w:name="_Toc205064548"/>
      <w:bookmarkStart w:id="1" w:name="_Toc1396385598"/>
      <w:bookmarkStart w:id="2" w:name="_Toc1896799919"/>
      <w:bookmarkStart w:id="3" w:name="_Toc19802078"/>
      <w:bookmarkStart w:id="4" w:name="_Toc115149649"/>
      <w:bookmarkStart w:id="5" w:name="_Toc1348251193"/>
      <w:bookmarkStart w:id="6" w:name="_Toc1536101912"/>
      <w:bookmarkStart w:id="7" w:name="_Toc958500180"/>
      <w:bookmarkStart w:id="8" w:name="_Toc2055792993"/>
      <w:bookmarkStart w:id="9" w:name="_Toc1077886365"/>
      <w:bookmarkStart w:id="10" w:name="_Toc564398847"/>
      <w:bookmarkStart w:id="11" w:name="_Toc892670694"/>
      <w:bookmarkStart w:id="12" w:name="_Toc367697581"/>
      <w:r>
        <w:rPr>
          <w:rFonts w:hint="eastAsia" w:ascii="方正小标宋简体" w:hAnsi="方正小标宋简体" w:eastAsia="方正小标宋简体" w:cs="方正小标宋简体"/>
          <w:color w:val="auto"/>
          <w:kern w:val="0"/>
          <w:sz w:val="52"/>
          <w:szCs w:val="52"/>
          <w:highlight w:val="none"/>
          <w:lang w:bidi="ar"/>
        </w:rPr>
        <w:t>长春市绿园区国民经济和社会发展</w:t>
      </w:r>
      <w:bookmarkEnd w:id="0"/>
      <w:bookmarkEnd w:id="1"/>
      <w:bookmarkEnd w:id="2"/>
      <w:bookmarkEnd w:id="3"/>
      <w:bookmarkEnd w:id="4"/>
      <w:bookmarkEnd w:id="5"/>
      <w:bookmarkEnd w:id="6"/>
      <w:bookmarkEnd w:id="7"/>
      <w:bookmarkEnd w:id="8"/>
      <w:bookmarkEnd w:id="9"/>
      <w:bookmarkEnd w:id="10"/>
      <w:bookmarkEnd w:id="11"/>
      <w:bookmarkEnd w:id="12"/>
    </w:p>
    <w:p>
      <w:pPr>
        <w:pageBreakBefore w:val="0"/>
        <w:widowControl/>
        <w:wordWrap/>
        <w:overflowPunct/>
        <w:autoSpaceDE/>
        <w:autoSpaceDN/>
        <w:bidi w:val="0"/>
        <w:spacing w:line="530" w:lineRule="exact"/>
        <w:ind w:firstLine="0" w:firstLineChars="0"/>
        <w:jc w:val="center"/>
        <w:outlineLvl w:val="0"/>
        <w:rPr>
          <w:rFonts w:hint="eastAsia" w:ascii="方正小标宋简体" w:hAnsi="方正小标宋简体" w:eastAsia="方正小标宋简体" w:cs="方正小标宋简体"/>
          <w:color w:val="auto"/>
          <w:kern w:val="0"/>
          <w:sz w:val="52"/>
          <w:szCs w:val="52"/>
          <w:highlight w:val="none"/>
          <w:lang w:bidi="ar"/>
        </w:rPr>
      </w:pPr>
      <w:bookmarkStart w:id="13" w:name="_Toc121498918"/>
      <w:bookmarkStart w:id="14" w:name="_Toc2101043308"/>
      <w:bookmarkStart w:id="15" w:name="_Toc795596116"/>
      <w:bookmarkStart w:id="16" w:name="_Toc1351451170"/>
      <w:bookmarkStart w:id="17" w:name="_Toc848436768"/>
      <w:bookmarkStart w:id="18" w:name="_Toc2011574110"/>
      <w:bookmarkStart w:id="19" w:name="_Toc437384796"/>
      <w:bookmarkStart w:id="20" w:name="_Toc1956088448"/>
      <w:bookmarkStart w:id="21" w:name="_Toc1957841254"/>
      <w:bookmarkStart w:id="22" w:name="_Toc416152730"/>
      <w:bookmarkStart w:id="23" w:name="_Toc1237689113"/>
      <w:bookmarkStart w:id="24" w:name="_Toc216430750"/>
      <w:bookmarkStart w:id="25" w:name="_Toc1582791448"/>
      <w:r>
        <w:rPr>
          <w:rFonts w:hint="eastAsia" w:ascii="方正小标宋简体" w:hAnsi="方正小标宋简体" w:eastAsia="方正小标宋简体" w:cs="方正小标宋简体"/>
          <w:color w:val="auto"/>
          <w:kern w:val="0"/>
          <w:sz w:val="52"/>
          <w:szCs w:val="52"/>
          <w:highlight w:val="none"/>
          <w:lang w:bidi="ar"/>
        </w:rPr>
        <w:t>第十五个五年规划纲要</w:t>
      </w:r>
      <w:bookmarkEnd w:id="13"/>
      <w:bookmarkEnd w:id="14"/>
      <w:bookmarkEnd w:id="15"/>
      <w:bookmarkEnd w:id="16"/>
      <w:bookmarkEnd w:id="17"/>
      <w:bookmarkEnd w:id="18"/>
      <w:bookmarkEnd w:id="19"/>
      <w:bookmarkEnd w:id="20"/>
      <w:bookmarkEnd w:id="21"/>
      <w:bookmarkEnd w:id="22"/>
      <w:bookmarkEnd w:id="23"/>
      <w:bookmarkEnd w:id="24"/>
      <w:bookmarkEnd w:id="25"/>
    </w:p>
    <w:p>
      <w:pPr>
        <w:pageBreakBefore w:val="0"/>
        <w:wordWrap/>
        <w:overflowPunct/>
        <w:autoSpaceDE/>
        <w:autoSpaceDN/>
        <w:bidi w:val="0"/>
        <w:spacing w:line="530" w:lineRule="exact"/>
        <w:ind w:firstLine="880"/>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ind w:firstLine="880"/>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ind w:firstLine="880"/>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ind w:firstLine="880"/>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ind w:firstLine="880"/>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rPr>
          <w:rFonts w:ascii="Times New Roman" w:hAnsi="Times New Roman" w:cs="Times New Roman"/>
          <w:color w:val="auto"/>
          <w:sz w:val="44"/>
          <w:szCs w:val="44"/>
          <w:highlight w:val="none"/>
          <w:lang w:bidi="ar"/>
        </w:rPr>
      </w:pPr>
    </w:p>
    <w:p>
      <w:pPr>
        <w:pageBreakBefore w:val="0"/>
        <w:wordWrap/>
        <w:overflowPunct/>
        <w:autoSpaceDE/>
        <w:autoSpaceDN/>
        <w:bidi w:val="0"/>
        <w:spacing w:line="530" w:lineRule="exact"/>
        <w:rPr>
          <w:rFonts w:ascii="Times New Roman" w:hAnsi="Times New Roman" w:cs="Times New Roman"/>
          <w:color w:val="auto"/>
          <w:sz w:val="44"/>
          <w:szCs w:val="44"/>
          <w:highlight w:val="none"/>
          <w:lang w:bidi="ar"/>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hint="default" w:ascii="黑体" w:hAnsi="黑体" w:eastAsia="黑体" w:cs="黑体"/>
          <w:color w:val="auto"/>
          <w:sz w:val="32"/>
          <w:szCs w:val="32"/>
          <w:highlight w:val="none"/>
          <w:lang w:val="en-US" w:eastAsia="zh-CN" w:bidi="ar"/>
        </w:rPr>
      </w:pPr>
    </w:p>
    <w:p>
      <w:pPr>
        <w:pageBreakBefore w:val="0"/>
        <w:wordWrap/>
        <w:overflowPunct/>
        <w:autoSpaceDE/>
        <w:autoSpaceDN/>
        <w:bidi w:val="0"/>
        <w:spacing w:line="530" w:lineRule="exact"/>
        <w:ind w:firstLine="0" w:firstLineChars="0"/>
        <w:jc w:val="center"/>
        <w:rPr>
          <w:rFonts w:ascii="黑体" w:hAnsi="黑体" w:eastAsia="黑体" w:cs="黑体"/>
          <w:color w:val="auto"/>
          <w:sz w:val="28"/>
          <w:szCs w:val="28"/>
          <w:highlight w:val="none"/>
          <w:lang w:bidi="ar"/>
        </w:rPr>
      </w:pPr>
      <w:r>
        <w:rPr>
          <w:rFonts w:hint="eastAsia" w:ascii="Times New Roman" w:hAnsi="Times New Roman" w:eastAsia="黑体" w:cs="黑体"/>
          <w:b w:val="0"/>
          <w:i w:val="0"/>
          <w:color w:val="auto"/>
          <w:sz w:val="28"/>
          <w:szCs w:val="28"/>
          <w:highlight w:val="none"/>
          <w:lang w:bidi="ar"/>
        </w:rPr>
        <w:t>202</w:t>
      </w:r>
      <w:r>
        <w:rPr>
          <w:rFonts w:hint="eastAsia" w:ascii="Times New Roman" w:hAnsi="Times New Roman" w:eastAsia="黑体" w:cs="黑体"/>
          <w:b w:val="0"/>
          <w:i w:val="0"/>
          <w:color w:val="auto"/>
          <w:sz w:val="28"/>
          <w:szCs w:val="28"/>
          <w:highlight w:val="none"/>
          <w:lang w:val="en-US" w:eastAsia="zh-CN" w:bidi="ar"/>
        </w:rPr>
        <w:t>6</w:t>
      </w:r>
      <w:r>
        <w:rPr>
          <w:rFonts w:hint="eastAsia" w:ascii="黑体" w:hAnsi="黑体" w:eastAsia="黑体" w:cs="黑体"/>
          <w:color w:val="auto"/>
          <w:sz w:val="28"/>
          <w:szCs w:val="28"/>
          <w:highlight w:val="none"/>
          <w:lang w:bidi="ar"/>
        </w:rPr>
        <w:t>年</w:t>
      </w:r>
      <w:r>
        <w:rPr>
          <w:rFonts w:hint="eastAsia" w:ascii="Times New Roman" w:hAnsi="Times New Roman" w:eastAsia="黑体" w:cs="黑体"/>
          <w:b w:val="0"/>
          <w:i w:val="0"/>
          <w:color w:val="auto"/>
          <w:sz w:val="28"/>
          <w:szCs w:val="28"/>
          <w:highlight w:val="none"/>
          <w:lang w:val="en-US" w:eastAsia="zh-CN" w:bidi="ar"/>
        </w:rPr>
        <w:t>6</w:t>
      </w:r>
      <w:r>
        <w:rPr>
          <w:rFonts w:hint="eastAsia" w:ascii="黑体" w:hAnsi="黑体" w:eastAsia="黑体" w:cs="黑体"/>
          <w:color w:val="auto"/>
          <w:sz w:val="28"/>
          <w:szCs w:val="28"/>
          <w:highlight w:val="none"/>
          <w:lang w:bidi="ar"/>
        </w:rPr>
        <w:t>月</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b/>
          <w:bCs/>
          <w:color w:val="auto"/>
          <w:sz w:val="44"/>
          <w:szCs w:val="44"/>
          <w:highlight w:val="none"/>
        </w:rPr>
        <w:sectPr>
          <w:pgSz w:w="11906" w:h="16838"/>
          <w:pgMar w:top="2098" w:right="1474" w:bottom="1984" w:left="1587" w:header="720" w:footer="720"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0" w:beforeLines="0" w:after="0" w:afterLines="0" w:line="530" w:lineRule="exact"/>
        <w:ind w:left="0" w:leftChars="0" w:right="0" w:rightChars="0" w:firstLine="0" w:firstLineChars="0"/>
        <w:jc w:val="center"/>
        <w:textAlignment w:val="auto"/>
        <w:rPr>
          <w:color w:val="auto"/>
          <w:highlight w:val="none"/>
        </w:rPr>
      </w:pPr>
      <w:r>
        <w:rPr>
          <w:rFonts w:hint="eastAsia"/>
          <w:b/>
          <w:bCs/>
          <w:color w:val="auto"/>
          <w:sz w:val="44"/>
          <w:szCs w:val="44"/>
          <w:highlight w:val="none"/>
        </w:rPr>
        <w:t>目   录</w:t>
      </w:r>
    </w:p>
    <w:sdt>
      <w:sdtPr>
        <w:rPr>
          <w:rFonts w:ascii="宋体" w:hAnsi="宋体" w:eastAsia="宋体" w:cstheme="minorBidi"/>
          <w:color w:val="auto"/>
          <w:kern w:val="2"/>
          <w:sz w:val="21"/>
          <w:szCs w:val="24"/>
          <w:highlight w:val="none"/>
          <w:lang w:val="en-US" w:eastAsia="zh-CN" w:bidi="ar-SA"/>
        </w:rPr>
        <w:id w:val="864551467"/>
        <w15:color w:val="DBDBDB"/>
        <w:docPartObj>
          <w:docPartGallery w:val="Table of Contents"/>
          <w:docPartUnique/>
        </w:docPartObj>
      </w:sdtPr>
      <w:sdtEndPr>
        <w:rPr>
          <w:rFonts w:ascii="宋体" w:hAnsi="宋体" w:eastAsia="宋体" w:cstheme="minorBidi"/>
          <w:color w:val="auto"/>
          <w:kern w:val="2"/>
          <w:sz w:val="21"/>
          <w:szCs w:val="24"/>
          <w:highlight w:val="none"/>
          <w:lang w:val="en-US" w:eastAsia="zh-CN" w:bidi="ar-SA"/>
        </w:rPr>
      </w:sdtEndPr>
      <w:sdtContent>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"1-2"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_Toc2072178478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第一篇 推动全面振兴率先实现新突破，全面建设社会主义现代化新绿园</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_Toc2072178478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_Toc1361376347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 xml:space="preserve">第一章 </w:t>
          </w:r>
          <w:r>
            <w:rPr>
              <w:rFonts w:hint="eastAsia" w:ascii="黑体" w:hAnsi="黑体" w:eastAsia="黑体" w:cs="黑体"/>
              <w:sz w:val="32"/>
              <w:szCs w:val="32"/>
              <w:highlight w:val="none"/>
            </w:rPr>
            <w:t>发展基础与环境</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_Toc1361376347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_Toc1361488891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总体要求</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_Toc1361488891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_Toc1105532252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发展目标</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_Toc1105532252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_Toc652045520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eastAsia="zh-CN"/>
            </w:rPr>
            <w:t>第二篇 筑牢</w:t>
          </w:r>
          <w:r>
            <w:rPr>
              <w:rFonts w:hint="eastAsia" w:ascii="黑体" w:hAnsi="黑体" w:eastAsia="黑体" w:cs="黑体"/>
              <w:sz w:val="32"/>
              <w:szCs w:val="32"/>
              <w:highlight w:val="none"/>
            </w:rPr>
            <w:t>发展空间基底，着力优化区域发展布局</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_Toc652045520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14</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_Toc320003999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服务支撑长春现代化都市圈</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_Toc320003999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15</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_Toc1008159105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 xml:space="preserve">第二章 </w:t>
          </w:r>
          <w:r>
            <w:rPr>
              <w:rFonts w:hint="eastAsia" w:ascii="黑体" w:hAnsi="黑体" w:eastAsia="黑体" w:cs="黑体"/>
              <w:sz w:val="32"/>
              <w:szCs w:val="32"/>
              <w:highlight w:val="none"/>
            </w:rPr>
            <w:t>构建“</w:t>
          </w:r>
          <w:r>
            <w:rPr>
              <w:rFonts w:hint="eastAsia" w:ascii="黑体" w:hAnsi="黑体" w:eastAsia="黑体" w:cs="黑体"/>
              <w:sz w:val="32"/>
              <w:szCs w:val="32"/>
              <w:highlight w:val="none"/>
              <w:lang w:val="en-US" w:eastAsia="zh-CN"/>
            </w:rPr>
            <w:t>一城六区</w:t>
          </w:r>
          <w:r>
            <w:rPr>
              <w:rFonts w:hint="eastAsia" w:ascii="黑体" w:hAnsi="黑体" w:eastAsia="黑体" w:cs="黑体"/>
              <w:sz w:val="32"/>
              <w:szCs w:val="32"/>
              <w:highlight w:val="none"/>
            </w:rPr>
            <w:t>”空间</w:t>
          </w:r>
          <w:r>
            <w:rPr>
              <w:rFonts w:hint="eastAsia" w:ascii="黑体" w:hAnsi="黑体" w:eastAsia="黑体" w:cs="黑体"/>
              <w:sz w:val="32"/>
              <w:szCs w:val="32"/>
              <w:highlight w:val="none"/>
              <w:lang w:val="en-US" w:eastAsia="zh-CN"/>
            </w:rPr>
            <w:t>格局</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_Toc1008159105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18</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_Toc484102905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严守自然资源底线</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_Toc484102905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20</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_Toc767470570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rPr>
            <w:t xml:space="preserve">第三篇 </w:t>
          </w:r>
          <w:r>
            <w:rPr>
              <w:rFonts w:hint="eastAsia" w:ascii="黑体" w:hAnsi="黑体" w:eastAsia="黑体" w:cs="黑体"/>
              <w:sz w:val="32"/>
              <w:szCs w:val="32"/>
              <w:highlight w:val="none"/>
              <w:lang w:val="en-US" w:eastAsia="zh-CN"/>
            </w:rPr>
            <w:t>加快推进航博城建设，打造区域发展新增长极</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_Toc767470570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24</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_Toc1091086108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第一章 构建创新驱动的产业生态</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_Toc1091086108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24</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_Toc521355423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xml:space="preserve">第二章 </w:t>
          </w:r>
          <w:r>
            <w:rPr>
              <w:rFonts w:hint="eastAsia" w:ascii="黑体" w:hAnsi="黑体" w:eastAsia="黑体" w:cs="黑体"/>
              <w:sz w:val="32"/>
              <w:szCs w:val="32"/>
              <w:highlight w:val="none"/>
              <w:lang w:val="en-US" w:eastAsia="zh-CN"/>
            </w:rPr>
            <w:t>推动航空文化的品牌塑造</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_Toc521355423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26</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_Toc687314601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第三章 践行协同有序的营城模式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_Toc687314601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31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_Toc803250875 </w:instrText>
          </w:r>
          <w:r>
            <w:rPr>
              <w:rFonts w:hint="eastAsia" w:ascii="黑体" w:hAnsi="黑体" w:eastAsia="黑体" w:cs="黑体"/>
              <w:sz w:val="32"/>
              <w:szCs w:val="32"/>
              <w:highlight w:val="none"/>
            </w:rPr>
            <w:fldChar w:fldCharType="separate"/>
          </w:r>
          <w:r>
            <w:rPr>
              <w:rFonts w:hint="eastAsia" w:ascii="黑体" w:hAnsi="黑体" w:eastAsia="黑体" w:cs="黑体"/>
              <w:bCs w:val="0"/>
              <w:sz w:val="32"/>
              <w:szCs w:val="32"/>
              <w:highlight w:val="none"/>
            </w:rPr>
            <w:t xml:space="preserve">第四篇 </w:t>
          </w:r>
          <w:r>
            <w:rPr>
              <w:rFonts w:hint="eastAsia" w:ascii="黑体" w:hAnsi="黑体" w:eastAsia="黑体" w:cs="黑体"/>
              <w:sz w:val="32"/>
              <w:szCs w:val="32"/>
              <w:highlight w:val="none"/>
            </w:rPr>
            <w:t>促进科技创新与产业创新深度融合，加快培育新质生产力</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_Toc803250875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36</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_Toc1155251083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强化创新引领作用</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_Toc1155251083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36</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_Toc905299454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筑牢筑强四</w:t>
          </w:r>
          <w:r>
            <w:rPr>
              <w:rFonts w:hint="eastAsia" w:ascii="黑体" w:hAnsi="黑体" w:eastAsia="黑体" w:cs="黑体"/>
              <w:sz w:val="32"/>
              <w:szCs w:val="32"/>
              <w:highlight w:val="none"/>
              <w:lang w:val="en-US" w:eastAsia="zh-CN"/>
            </w:rPr>
            <w:t>大</w:t>
          </w:r>
          <w:r>
            <w:rPr>
              <w:rFonts w:hint="eastAsia" w:ascii="黑体" w:hAnsi="黑体" w:eastAsia="黑体" w:cs="黑体"/>
              <w:sz w:val="32"/>
              <w:szCs w:val="32"/>
              <w:highlight w:val="none"/>
            </w:rPr>
            <w:t>核心产业</w:t>
          </w:r>
          <w:r>
            <w:rPr>
              <w:rFonts w:hint="eastAsia" w:ascii="黑体" w:hAnsi="黑体" w:eastAsia="黑体" w:cs="黑体"/>
              <w:sz w:val="32"/>
              <w:szCs w:val="32"/>
              <w:highlight w:val="none"/>
              <w:lang w:val="en-US" w:eastAsia="zh-CN"/>
            </w:rPr>
            <w:t>链</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_Toc905299454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39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_Toc446284383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加快布局七条产业赛道</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_Toc446284383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43</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_Toc1337147147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 xml:space="preserve">第五篇 </w:t>
          </w:r>
          <w:r>
            <w:rPr>
              <w:rFonts w:hint="eastAsia" w:ascii="黑体" w:hAnsi="黑体" w:eastAsia="黑体" w:cs="黑体"/>
              <w:sz w:val="32"/>
              <w:szCs w:val="32"/>
              <w:highlight w:val="none"/>
            </w:rPr>
            <w:t>全方位扩大内需，</w:t>
          </w:r>
          <w:r>
            <w:rPr>
              <w:rFonts w:hint="eastAsia" w:ascii="黑体" w:hAnsi="黑体" w:eastAsia="黑体" w:cs="黑体"/>
              <w:sz w:val="32"/>
              <w:szCs w:val="32"/>
              <w:highlight w:val="none"/>
              <w:lang w:val="en-US" w:eastAsia="zh-CN"/>
            </w:rPr>
            <w:t>构筑</w:t>
          </w:r>
          <w:r>
            <w:rPr>
              <w:rFonts w:hint="eastAsia" w:ascii="黑体" w:hAnsi="黑体" w:eastAsia="黑体" w:cs="黑体"/>
              <w:sz w:val="32"/>
              <w:szCs w:val="32"/>
              <w:highlight w:val="none"/>
            </w:rPr>
            <w:t>高质量发展</w:t>
          </w:r>
          <w:r>
            <w:rPr>
              <w:rFonts w:hint="eastAsia" w:ascii="黑体" w:hAnsi="黑体" w:eastAsia="黑体" w:cs="黑体"/>
              <w:sz w:val="32"/>
              <w:szCs w:val="32"/>
              <w:highlight w:val="none"/>
              <w:lang w:val="en-US" w:eastAsia="zh-CN"/>
            </w:rPr>
            <w:t>新优势</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_Toc1337147147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47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_Toc15733774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打造烟火气消费场景</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_Toc15733774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47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_Toc297051037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第二章 全面优化消费环境</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_Toc297051037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50</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_Toc1784783231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精准扩大有效投资</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_Toc1784783231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53</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_Toc800182121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 xml:space="preserve">第六篇 </w:t>
          </w:r>
          <w:r>
            <w:rPr>
              <w:rFonts w:hint="eastAsia" w:ascii="黑体" w:hAnsi="黑体" w:eastAsia="黑体" w:cs="黑体"/>
              <w:sz w:val="32"/>
              <w:szCs w:val="32"/>
              <w:highlight w:val="none"/>
            </w:rPr>
            <w:t>厚植文化发展沃土，开拓文旅融合发展新方向</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_Toc800182121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_Toc1118310133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促进文化事业繁荣发展</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_Toc1118310133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_Toc661526787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保护传承历史文化遗产</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_Toc661526787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_Toc757868590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推动文旅深度融合发展</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_Toc757868590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60</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_Toc68247284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第七篇 绘就乡村振兴画卷，打造农业农村现代化典范</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_Toc68247284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65</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_Toc275834690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推动新型城镇化建设</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_Toc275834690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65</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_Toc1683924604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坚决保障粮食安全底线</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_Toc1683924604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67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_Toc33835615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实施宜居宜业和美乡村建设</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_Toc33835615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69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_Toc2056352468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第八篇 筑牢生态文明底色，探索低碳循环发展新路径</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_Toc2056352468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72</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_Toc1661598505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深入打好污染防治攻坚战</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_Toc1661598505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72</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_Toc608727947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系统实施生态保护</w:t>
          </w:r>
          <w:r>
            <w:rPr>
              <w:rFonts w:hint="eastAsia" w:ascii="黑体" w:hAnsi="黑体" w:eastAsia="黑体" w:cs="黑体"/>
              <w:sz w:val="32"/>
              <w:szCs w:val="32"/>
              <w:highlight w:val="none"/>
              <w:lang w:val="en-US" w:eastAsia="zh-CN"/>
            </w:rPr>
            <w:t>和</w:t>
          </w:r>
          <w:r>
            <w:rPr>
              <w:rFonts w:hint="eastAsia" w:ascii="黑体" w:hAnsi="黑体" w:eastAsia="黑体" w:cs="黑体"/>
              <w:sz w:val="32"/>
              <w:szCs w:val="32"/>
              <w:highlight w:val="none"/>
            </w:rPr>
            <w:t>修复</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_Toc608727947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75</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_Toc278510921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加快</w:t>
          </w:r>
          <w:r>
            <w:rPr>
              <w:rFonts w:hint="eastAsia" w:ascii="黑体" w:hAnsi="黑体" w:eastAsia="黑体" w:cs="黑体"/>
              <w:sz w:val="32"/>
              <w:szCs w:val="32"/>
              <w:highlight w:val="none"/>
              <w:lang w:eastAsia="zh-CN"/>
            </w:rPr>
            <w:t>绿色低碳转型发展方式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_Toc278510921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77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_Toc1121106959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第九篇 赓续增进民生福祉，创建宜居宜业幸福城区</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_Toc1121106959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81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_Toc423141135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xml:space="preserve">第一章 </w:t>
          </w:r>
          <w:r>
            <w:rPr>
              <w:rFonts w:hint="eastAsia" w:ascii="黑体" w:hAnsi="黑体" w:eastAsia="黑体" w:cs="黑体"/>
              <w:sz w:val="32"/>
              <w:szCs w:val="32"/>
              <w:highlight w:val="none"/>
              <w:lang w:val="en-US" w:eastAsia="zh-CN"/>
            </w:rPr>
            <w:t>全面实施城市更新行动</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_Toc423141135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81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_Toc1414700728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xml:space="preserve">第二章 </w:t>
          </w:r>
          <w:r>
            <w:rPr>
              <w:rFonts w:hint="eastAsia" w:ascii="黑体" w:hAnsi="黑体" w:eastAsia="黑体" w:cs="黑体"/>
              <w:sz w:val="32"/>
              <w:szCs w:val="32"/>
              <w:highlight w:val="none"/>
              <w:lang w:val="en-US" w:eastAsia="zh-CN"/>
            </w:rPr>
            <w:t>打造花园城区示范场景</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_Toc1414700728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86</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_Toc2083679559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eastAsia="zh-CN"/>
            </w:rPr>
            <w:t xml:space="preserve">第三章 </w:t>
          </w:r>
          <w:r>
            <w:rPr>
              <w:rFonts w:hint="eastAsia" w:ascii="黑体" w:hAnsi="黑体" w:eastAsia="黑体" w:cs="黑体"/>
              <w:sz w:val="32"/>
              <w:szCs w:val="32"/>
              <w:highlight w:val="none"/>
              <w:lang w:val="en-US" w:eastAsia="zh-CN"/>
            </w:rPr>
            <w:t>提升公共服务水平</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_Toc2083679559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89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_Toc1386516484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第四章 健全就业增收机制</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_Toc1386516484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92</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_Toc837492991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第五章 加大社会保障力度</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_Toc837492991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93</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_Toc1136877299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第十篇 进一步全面深化改革，激发高质量发展蓬勃动力</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_Toc1136877299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101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_Toc1334756934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深化重点领域改革</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_Toc1334756934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101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_Toc645613176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全面优化营商环境</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_Toc645613176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104</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_Toc1733264388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健全城乡融合发展体制机制</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_Toc1733264388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106</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_Toc1857226951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第十一篇 提升综合治理效能，更好统筹发展与安全</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_Toc1857226951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110</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_Toc738556312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提高社会治理效能</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_Toc738556312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110</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_Toc460456124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系统建设法治绿园</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_Toc460456124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112</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_Toc1502495927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防范化解重大风险</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_Toc1502495927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113</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_Toc188840016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xml:space="preserve">第四章 </w:t>
          </w:r>
          <w:r>
            <w:rPr>
              <w:rFonts w:hint="eastAsia" w:ascii="黑体" w:hAnsi="黑体" w:eastAsia="黑体" w:cs="黑体"/>
              <w:sz w:val="32"/>
              <w:szCs w:val="32"/>
              <w:highlight w:val="none"/>
              <w:lang w:val="en-US" w:eastAsia="zh-CN"/>
            </w:rPr>
            <w:t>提高数字化治理能力</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_Toc188840016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115</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1"/>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_Toc2000802293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第十二篇 强化规划实施保障，凝聚现代化新绿园建设强大合力</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_Toc2000802293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_Toc37710078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加强党的全面领导</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_Toc37710078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117</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_Toc285605081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第二章 强化民主政治建设</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_Toc285605081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119</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Style w:val="12"/>
            <w:pageBreakBefore w:val="0"/>
            <w:tabs>
              <w:tab w:val="right" w:leader="dot" w:pos="8306"/>
            </w:tabs>
            <w:wordWrap/>
            <w:overflowPunct/>
            <w:autoSpaceDE/>
            <w:autoSpaceDN/>
            <w:bidi w:val="0"/>
            <w:spacing w:line="530" w:lineRule="exact"/>
            <w:rPr>
              <w:rFonts w:hint="eastAsia" w:ascii="黑体" w:hAnsi="黑体" w:eastAsia="黑体" w:cs="黑体"/>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_Toc538645322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第三章 健全规划实施机制</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_Toc538645322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121</w:t>
          </w:r>
          <w:r>
            <w:rPr>
              <w:rFonts w:hint="eastAsia" w:ascii="黑体" w:hAnsi="黑体" w:eastAsia="黑体" w:cs="黑体"/>
              <w:sz w:val="32"/>
              <w:szCs w:val="32"/>
              <w:highlight w:val="none"/>
            </w:rPr>
            <w:fldChar w:fldCharType="end"/>
          </w:r>
          <w:r>
            <w:rPr>
              <w:rFonts w:hint="eastAsia" w:ascii="黑体" w:hAnsi="黑体" w:eastAsia="黑体" w:cs="黑体"/>
              <w:color w:val="auto"/>
              <w:sz w:val="32"/>
              <w:szCs w:val="32"/>
              <w:highlight w:val="none"/>
            </w:rPr>
            <w:fldChar w:fldCharType="end"/>
          </w:r>
        </w:p>
        <w:p>
          <w:pPr>
            <w:pageBreakBefore w:val="0"/>
            <w:wordWrap/>
            <w:overflowPunct/>
            <w:autoSpaceDE/>
            <w:autoSpaceDN/>
            <w:bidi w:val="0"/>
            <w:spacing w:before="0" w:beforeLines="0" w:after="0" w:afterLines="0" w:line="530" w:lineRule="exact"/>
            <w:ind w:left="0" w:leftChars="0" w:right="0" w:rightChars="0" w:firstLine="0" w:firstLineChars="0"/>
            <w:jc w:val="center"/>
            <w:rPr>
              <w:color w:val="auto"/>
              <w:highlight w:val="none"/>
            </w:rPr>
          </w:pPr>
          <w:r>
            <w:rPr>
              <w:rFonts w:hint="eastAsia" w:ascii="黑体" w:hAnsi="黑体" w:eastAsia="黑体" w:cs="黑体"/>
              <w:color w:val="auto"/>
              <w:sz w:val="32"/>
              <w:szCs w:val="32"/>
              <w:highlight w:val="none"/>
            </w:rPr>
            <w:fldChar w:fldCharType="end"/>
          </w:r>
        </w:p>
      </w:sdtContent>
    </w:sdt>
    <w:p>
      <w:pPr>
        <w:pageBreakBefore w:val="0"/>
        <w:wordWrap/>
        <w:overflowPunct/>
        <w:autoSpaceDE/>
        <w:autoSpaceDN/>
        <w:bidi w:val="0"/>
        <w:spacing w:line="530" w:lineRule="exact"/>
        <w:rPr>
          <w:color w:val="auto"/>
          <w:highlight w:val="none"/>
        </w:rPr>
      </w:pP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bCs w:val="0"/>
          <w:color w:val="auto"/>
          <w:kern w:val="2"/>
          <w:sz w:val="32"/>
          <w:szCs w:val="32"/>
          <w:highlight w:val="none"/>
          <w:lang w:val="en-US" w:eastAsia="zh-CN" w:bidi="ar-SA"/>
        </w:rPr>
        <w:fldChar w:fldCharType="begin"/>
      </w:r>
      <w:r>
        <w:rPr>
          <w:rFonts w:hint="eastAsia" w:ascii="黑体" w:hAnsi="黑体" w:eastAsia="黑体" w:cs="黑体"/>
          <w:bCs w:val="0"/>
          <w:color w:val="auto"/>
          <w:kern w:val="2"/>
          <w:sz w:val="32"/>
          <w:szCs w:val="32"/>
          <w:highlight w:val="none"/>
          <w:lang w:val="en-US" w:eastAsia="zh-CN" w:bidi="ar-SA"/>
        </w:rPr>
        <w:instrText xml:space="preserve">TOC \o "1-1" \h \u </w:instrText>
      </w:r>
      <w:r>
        <w:rPr>
          <w:rFonts w:hint="eastAsia" w:ascii="黑体" w:hAnsi="黑体" w:eastAsia="黑体" w:cs="黑体"/>
          <w:bCs w:val="0"/>
          <w:color w:val="auto"/>
          <w:kern w:val="2"/>
          <w:sz w:val="32"/>
          <w:szCs w:val="32"/>
          <w:highlight w:val="none"/>
          <w:lang w:val="en-US" w:eastAsia="zh-CN" w:bidi="ar-SA"/>
        </w:rPr>
        <w:fldChar w:fldCharType="separate"/>
      </w:r>
    </w:p>
    <w:p>
      <w:pPr>
        <w:pageBreakBefore w:val="0"/>
        <w:wordWrap/>
        <w:overflowPunct/>
        <w:autoSpaceDE/>
        <w:autoSpaceDN/>
        <w:bidi w:val="0"/>
        <w:spacing w:before="0" w:beforeLines="0" w:after="0" w:afterLines="0" w:line="530" w:lineRule="exact"/>
        <w:ind w:left="0" w:leftChars="0" w:right="0" w:rightChars="0" w:firstLine="0" w:firstLineChars="0"/>
        <w:jc w:val="center"/>
        <w:rPr>
          <w:rFonts w:hint="eastAsia" w:ascii="黑体" w:hAnsi="黑体" w:eastAsia="黑体" w:cs="黑体"/>
          <w:bCs w:val="0"/>
          <w:color w:val="auto"/>
          <w:kern w:val="2"/>
          <w:sz w:val="21"/>
          <w:szCs w:val="32"/>
          <w:highlight w:val="none"/>
          <w:lang w:val="en-US" w:eastAsia="zh-CN" w:bidi="ar-SA"/>
        </w:rPr>
      </w:pPr>
      <w:r>
        <w:rPr>
          <w:rFonts w:hint="eastAsia" w:ascii="黑体" w:hAnsi="黑体" w:eastAsia="黑体" w:cs="黑体"/>
          <w:bCs w:val="0"/>
          <w:color w:val="auto"/>
          <w:kern w:val="2"/>
          <w:sz w:val="32"/>
          <w:szCs w:val="32"/>
          <w:highlight w:val="none"/>
          <w:lang w:val="en-US" w:eastAsia="zh-CN" w:bidi="ar-SA"/>
        </w:rPr>
        <w:fldChar w:fldCharType="end"/>
      </w:r>
    </w:p>
    <w:p>
      <w:pPr>
        <w:pageBreakBefore w:val="0"/>
        <w:wordWrap/>
        <w:overflowPunct/>
        <w:autoSpaceDE/>
        <w:autoSpaceDN/>
        <w:bidi w:val="0"/>
        <w:spacing w:before="0" w:beforeLines="0" w:after="0" w:afterLines="0" w:line="530" w:lineRule="exact"/>
        <w:ind w:left="0" w:leftChars="0" w:right="0" w:rightChars="0" w:firstLine="0" w:firstLineChars="0"/>
        <w:jc w:val="center"/>
        <w:rPr>
          <w:rFonts w:hint="eastAsia" w:ascii="黑体" w:hAnsi="黑体" w:eastAsia="黑体" w:cs="黑体"/>
          <w:bCs w:val="0"/>
          <w:color w:val="auto"/>
          <w:kern w:val="2"/>
          <w:sz w:val="21"/>
          <w:szCs w:val="32"/>
          <w:highlight w:val="none"/>
          <w:lang w:val="en-US" w:eastAsia="zh-CN" w:bidi="ar-SA"/>
        </w:rPr>
      </w:pPr>
    </w:p>
    <w:p>
      <w:pPr>
        <w:pageBreakBefore w:val="0"/>
        <w:wordWrap/>
        <w:overflowPunct/>
        <w:autoSpaceDE/>
        <w:autoSpaceDN/>
        <w:bidi w:val="0"/>
        <w:spacing w:before="0" w:beforeLines="0" w:after="0" w:afterLines="0" w:line="530" w:lineRule="exact"/>
        <w:ind w:left="0" w:leftChars="0" w:right="0" w:rightChars="0" w:firstLine="0" w:firstLineChars="0"/>
        <w:jc w:val="center"/>
        <w:rPr>
          <w:rFonts w:hint="eastAsia" w:ascii="黑体" w:hAnsi="黑体" w:eastAsia="黑体" w:cs="黑体"/>
          <w:bCs w:val="0"/>
          <w:color w:val="auto"/>
          <w:kern w:val="2"/>
          <w:sz w:val="21"/>
          <w:szCs w:val="32"/>
          <w:highlight w:val="none"/>
          <w:lang w:val="en-US" w:eastAsia="zh-CN" w:bidi="ar-SA"/>
        </w:rPr>
      </w:pPr>
    </w:p>
    <w:p>
      <w:pPr>
        <w:pageBreakBefore w:val="0"/>
        <w:wordWrap/>
        <w:overflowPunct/>
        <w:autoSpaceDE/>
        <w:autoSpaceDN/>
        <w:bidi w:val="0"/>
        <w:spacing w:before="0" w:beforeLines="0" w:after="0" w:afterLines="0" w:line="530" w:lineRule="exact"/>
        <w:ind w:left="0" w:leftChars="0" w:right="0" w:rightChars="0" w:firstLine="0" w:firstLineChars="0"/>
        <w:jc w:val="center"/>
        <w:rPr>
          <w:rFonts w:hint="eastAsia" w:ascii="黑体" w:hAnsi="黑体" w:eastAsia="黑体" w:cs="黑体"/>
          <w:bCs w:val="0"/>
          <w:color w:val="auto"/>
          <w:kern w:val="2"/>
          <w:sz w:val="21"/>
          <w:szCs w:val="32"/>
          <w:highlight w:val="none"/>
          <w:lang w:val="en-US" w:eastAsia="zh-CN" w:bidi="ar-SA"/>
        </w:rPr>
      </w:pPr>
    </w:p>
    <w:p>
      <w:pPr>
        <w:pageBreakBefore w:val="0"/>
        <w:wordWrap/>
        <w:overflowPunct/>
        <w:autoSpaceDE/>
        <w:autoSpaceDN/>
        <w:bidi w:val="0"/>
        <w:spacing w:before="0" w:beforeLines="0" w:after="0" w:afterLines="0" w:line="530" w:lineRule="exact"/>
        <w:ind w:left="0" w:leftChars="0" w:right="0" w:rightChars="0" w:firstLine="0" w:firstLineChars="0"/>
        <w:jc w:val="center"/>
        <w:rPr>
          <w:rFonts w:hint="eastAsia" w:ascii="黑体" w:hAnsi="黑体" w:eastAsia="黑体" w:cs="黑体"/>
          <w:bCs w:val="0"/>
          <w:color w:val="auto"/>
          <w:kern w:val="2"/>
          <w:sz w:val="21"/>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b w:val="0"/>
          <w:bCs w:val="0"/>
          <w:color w:val="auto"/>
          <w:sz w:val="32"/>
          <w:szCs w:val="32"/>
          <w:highlight w:val="none"/>
        </w:rPr>
        <w:sectPr>
          <w:footerReference r:id="rId3" w:type="default"/>
          <w:pgSz w:w="11906" w:h="16838"/>
          <w:pgMar w:top="1440" w:right="1800" w:bottom="1440" w:left="1800" w:header="720" w:footer="720" w:gutter="0"/>
          <w:pgNumType w:fmt="decimal" w:start="1"/>
          <w:cols w:space="425" w:num="1"/>
          <w:docGrid w:type="lines" w:linePitch="312" w:charSpace="0"/>
        </w:sectPr>
      </w:pPr>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26" w:name="_Toc289742691"/>
      <w:bookmarkStart w:id="27" w:name="_Toc2052763518"/>
      <w:bookmarkStart w:id="28" w:name="_Toc1161269935"/>
      <w:bookmarkStart w:id="29" w:name="_Toc1314317349"/>
      <w:bookmarkStart w:id="30" w:name="_Toc1693516644"/>
      <w:bookmarkStart w:id="31" w:name="_Toc2072178478"/>
      <w:bookmarkStart w:id="32" w:name="_Toc385343696"/>
      <w:bookmarkStart w:id="33" w:name="_Toc691012049"/>
      <w:r>
        <w:rPr>
          <w:rFonts w:hint="eastAsia" w:ascii="方正小标宋简体" w:hAnsi="方正小标宋简体" w:eastAsia="方正小标宋简体" w:cs="方正小标宋简体"/>
          <w:color w:val="auto"/>
          <w:highlight w:val="none"/>
        </w:rPr>
        <w:t>推动全面振兴率先实现新突破，全面建设社会主义现代化新绿园</w:t>
      </w:r>
      <w:bookmarkEnd w:id="26"/>
      <w:bookmarkEnd w:id="27"/>
      <w:bookmarkEnd w:id="28"/>
      <w:bookmarkEnd w:id="29"/>
      <w:bookmarkEnd w:id="30"/>
      <w:bookmarkEnd w:id="31"/>
      <w:bookmarkEnd w:id="32"/>
      <w:bookmarkEnd w:id="33"/>
    </w:p>
    <w:p>
      <w:pPr>
        <w:pStyle w:val="19"/>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highlight w:val="none"/>
        </w:rPr>
      </w:pPr>
      <w:r>
        <w:rPr>
          <w:rFonts w:hint="eastAsia"/>
          <w:color w:val="auto"/>
          <w:highlight w:val="none"/>
        </w:rPr>
        <w:t>绿园区立足扎实发展基础，紧抓“十五五”关键机遇，以习近平新时代中国特色社会主义思想为指导，全面贯彻新发展理念，锚定高质量发展、高品质生活的现代化新城区奋斗目标，实施“一城</w:t>
      </w:r>
      <w:r>
        <w:rPr>
          <w:rFonts w:hint="eastAsia"/>
          <w:color w:val="auto"/>
          <w:highlight w:val="none"/>
          <w:lang w:eastAsia="zh-CN"/>
        </w:rPr>
        <w:t>、</w:t>
      </w:r>
      <w:r>
        <w:rPr>
          <w:rFonts w:hint="eastAsia"/>
          <w:color w:val="auto"/>
          <w:highlight w:val="none"/>
        </w:rPr>
        <w:t>六区</w:t>
      </w:r>
      <w:r>
        <w:rPr>
          <w:rFonts w:hint="eastAsia"/>
          <w:color w:val="auto"/>
          <w:highlight w:val="none"/>
          <w:lang w:eastAsia="zh-CN"/>
        </w:rPr>
        <w:t>、</w:t>
      </w:r>
      <w:r>
        <w:rPr>
          <w:rFonts w:hint="eastAsia"/>
          <w:color w:val="auto"/>
          <w:highlight w:val="none"/>
        </w:rPr>
        <w:t>七业”发展战略，力争到</w:t>
      </w:r>
      <w:r>
        <w:rPr>
          <w:rFonts w:hint="eastAsia" w:ascii="Times New Roman" w:hAnsi="Times New Roman"/>
          <w:b w:val="0"/>
          <w:i w:val="0"/>
          <w:color w:val="auto"/>
          <w:highlight w:val="none"/>
        </w:rPr>
        <w:t>2030</w:t>
      </w:r>
      <w:r>
        <w:rPr>
          <w:rFonts w:hint="eastAsia"/>
          <w:color w:val="auto"/>
          <w:highlight w:val="none"/>
        </w:rPr>
        <w:t>年建成动能转换卓越、绿色集聚宜居、航空文化魅力、青春包容活力、安全智慧花园的城区，为长春现代化都市圈建设贡献绿园力量。</w:t>
      </w:r>
    </w:p>
    <w:p>
      <w:pPr>
        <w:pStyle w:val="3"/>
        <w:bidi w:val="0"/>
        <w:rPr>
          <w:rFonts w:hint="eastAsia"/>
          <w:highlight w:val="none"/>
          <w:lang w:val="en-US" w:eastAsia="zh-CN"/>
        </w:rPr>
      </w:pPr>
      <w:bookmarkStart w:id="34" w:name="_Toc1361376347"/>
      <w:bookmarkStart w:id="35" w:name="_Toc1471657971"/>
      <w:bookmarkStart w:id="36" w:name="_Toc247944567"/>
      <w:bookmarkStart w:id="37" w:name="_Toc185978370"/>
      <w:bookmarkStart w:id="38" w:name="_Toc1132413609"/>
      <w:bookmarkStart w:id="39" w:name="_Toc1808302967"/>
      <w:bookmarkStart w:id="40" w:name="_Toc714891601"/>
      <w:r>
        <w:rPr>
          <w:rFonts w:hint="eastAsia"/>
          <w:highlight w:val="none"/>
        </w:rPr>
        <w:t>发展基础与环境</w:t>
      </w:r>
      <w:bookmarkEnd w:id="34"/>
      <w:bookmarkEnd w:id="35"/>
      <w:bookmarkEnd w:id="36"/>
      <w:bookmarkEnd w:id="37"/>
      <w:bookmarkEnd w:id="38"/>
      <w:bookmarkEnd w:id="39"/>
      <w:bookmarkEnd w:id="40"/>
    </w:p>
    <w:p>
      <w:pPr>
        <w:pStyle w:val="4"/>
        <w:pageBreakBefore w:val="0"/>
        <w:wordWrap/>
        <w:overflowPunct/>
        <w:autoSpaceDE/>
        <w:autoSpaceDN/>
        <w:bidi w:val="0"/>
        <w:spacing w:line="530" w:lineRule="exact"/>
        <w:rPr>
          <w:color w:val="auto"/>
          <w:highlight w:val="none"/>
        </w:rPr>
      </w:pPr>
      <w:bookmarkStart w:id="41" w:name="_Toc1586356098"/>
      <w:bookmarkStart w:id="42" w:name="_Toc1086062389"/>
      <w:bookmarkStart w:id="43" w:name="_Toc1149758205"/>
      <w:bookmarkStart w:id="44" w:name="_Toc959394025"/>
      <w:r>
        <w:rPr>
          <w:color w:val="auto"/>
          <w:highlight w:val="none"/>
        </w:rPr>
        <w:t>发展基础</w:t>
      </w:r>
      <w:bookmarkEnd w:id="41"/>
      <w:bookmarkEnd w:id="42"/>
      <w:bookmarkEnd w:id="43"/>
      <w:bookmarkEnd w:id="44"/>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lang w:bidi="ar"/>
        </w:rPr>
        <w:t>产业体系优化完善，创新动能实现突破。</w:t>
      </w:r>
      <w:r>
        <w:rPr>
          <w:rFonts w:hint="eastAsia"/>
          <w:color w:val="auto"/>
          <w:highlight w:val="none"/>
          <w:lang w:bidi="ar"/>
        </w:rPr>
        <w:t>发展质效稳步提升，2025年全区地区生产总值突破400亿元。</w:t>
      </w:r>
      <w:r>
        <w:rPr>
          <w:color w:val="auto"/>
          <w:highlight w:val="none"/>
          <w:lang w:bidi="ar"/>
        </w:rPr>
        <w:t>产业结构升级优化，</w:t>
      </w:r>
      <w:r>
        <w:rPr>
          <w:rFonts w:hint="eastAsia"/>
          <w:color w:val="auto"/>
          <w:highlight w:val="none"/>
          <w:lang w:val="en-US" w:eastAsia="zh-CN" w:bidi="ar"/>
        </w:rPr>
        <w:t>三次产业</w:t>
      </w:r>
      <w:r>
        <w:rPr>
          <w:color w:val="auto"/>
          <w:highlight w:val="none"/>
          <w:lang w:bidi="ar"/>
        </w:rPr>
        <w:t>比例由202</w:t>
      </w:r>
      <w:r>
        <w:rPr>
          <w:rFonts w:hint="eastAsia"/>
          <w:color w:val="auto"/>
          <w:highlight w:val="none"/>
          <w:lang w:val="en-US" w:eastAsia="zh-CN" w:bidi="ar"/>
        </w:rPr>
        <w:t>1</w:t>
      </w:r>
      <w:r>
        <w:rPr>
          <w:color w:val="auto"/>
          <w:highlight w:val="none"/>
          <w:lang w:bidi="ar"/>
        </w:rPr>
        <w:t>年的</w:t>
      </w:r>
      <w:r>
        <w:rPr>
          <w:rFonts w:hint="eastAsia"/>
          <w:color w:val="auto"/>
          <w:highlight w:val="none"/>
          <w:lang w:val="en-US" w:eastAsia="zh-CN" w:bidi="ar"/>
        </w:rPr>
        <w:t>0.9</w:t>
      </w:r>
      <w:r>
        <w:rPr>
          <w:color w:val="auto"/>
          <w:highlight w:val="none"/>
          <w:lang w:bidi="ar"/>
        </w:rPr>
        <w:t>:</w:t>
      </w:r>
      <w:r>
        <w:rPr>
          <w:rFonts w:hint="eastAsia"/>
          <w:color w:val="auto"/>
          <w:highlight w:val="none"/>
          <w:lang w:val="en-US" w:eastAsia="zh-CN" w:bidi="ar"/>
        </w:rPr>
        <w:t>54.2</w:t>
      </w:r>
      <w:r>
        <w:rPr>
          <w:color w:val="auto"/>
          <w:highlight w:val="none"/>
          <w:lang w:bidi="ar"/>
        </w:rPr>
        <w:t>:4</w:t>
      </w:r>
      <w:r>
        <w:rPr>
          <w:rFonts w:hint="eastAsia"/>
          <w:color w:val="auto"/>
          <w:highlight w:val="none"/>
          <w:lang w:val="en-US" w:eastAsia="zh-CN" w:bidi="ar"/>
        </w:rPr>
        <w:t>4.9</w:t>
      </w:r>
      <w:r>
        <w:rPr>
          <w:color w:val="auto"/>
          <w:highlight w:val="none"/>
          <w:lang w:bidi="ar"/>
        </w:rPr>
        <w:t>调整为202</w:t>
      </w:r>
      <w:r>
        <w:rPr>
          <w:rFonts w:hint="eastAsia"/>
          <w:color w:val="auto"/>
          <w:highlight w:val="none"/>
          <w:lang w:val="en-US" w:eastAsia="zh-CN" w:bidi="ar"/>
        </w:rPr>
        <w:t>5</w:t>
      </w:r>
      <w:r>
        <w:rPr>
          <w:color w:val="auto"/>
          <w:highlight w:val="none"/>
          <w:lang w:bidi="ar"/>
        </w:rPr>
        <w:t>年的</w:t>
      </w:r>
      <w:r>
        <w:rPr>
          <w:rFonts w:hint="eastAsia"/>
          <w:color w:val="auto"/>
          <w:highlight w:val="none"/>
          <w:lang w:val="en-US" w:eastAsia="zh-CN" w:bidi="ar"/>
        </w:rPr>
        <w:t>0.7</w:t>
      </w:r>
      <w:r>
        <w:rPr>
          <w:color w:val="auto"/>
          <w:highlight w:val="none"/>
          <w:lang w:bidi="ar"/>
        </w:rPr>
        <w:t>:</w:t>
      </w:r>
      <w:r>
        <w:rPr>
          <w:rFonts w:hint="eastAsia"/>
          <w:color w:val="auto"/>
          <w:highlight w:val="none"/>
          <w:lang w:val="en-US" w:eastAsia="zh-CN" w:bidi="ar"/>
        </w:rPr>
        <w:t>46.3</w:t>
      </w:r>
      <w:r>
        <w:rPr>
          <w:color w:val="auto"/>
          <w:highlight w:val="none"/>
          <w:lang w:bidi="ar"/>
        </w:rPr>
        <w:t>:</w:t>
      </w:r>
      <w:r>
        <w:rPr>
          <w:rFonts w:hint="eastAsia"/>
          <w:color w:val="auto"/>
          <w:highlight w:val="none"/>
          <w:lang w:val="en-US" w:eastAsia="zh-CN" w:bidi="ar"/>
        </w:rPr>
        <w:t>53</w:t>
      </w:r>
      <w:r>
        <w:rPr>
          <w:color w:val="auto"/>
          <w:highlight w:val="none"/>
          <w:lang w:bidi="ar"/>
        </w:rPr>
        <w:t>，</w:t>
      </w:r>
      <w:r>
        <w:rPr>
          <w:rFonts w:hint="eastAsia"/>
          <w:color w:val="auto"/>
          <w:highlight w:val="none"/>
          <w:lang w:bidi="ar"/>
        </w:rPr>
        <w:t>服务型经济主导地位逐步确立</w:t>
      </w:r>
      <w:r>
        <w:rPr>
          <w:color w:val="auto"/>
          <w:highlight w:val="none"/>
          <w:lang w:bidi="ar"/>
        </w:rPr>
        <w:t>。支柱产业持续壮大，在轨道交通装备制造方面，本地配套率显著提升，带动产业链规模向</w:t>
      </w:r>
      <w:r>
        <w:rPr>
          <w:rFonts w:ascii="Times New Roman" w:hAnsi="Times New Roman"/>
          <w:b w:val="0"/>
          <w:i w:val="0"/>
          <w:color w:val="auto"/>
          <w:highlight w:val="none"/>
          <w:lang w:bidi="ar"/>
        </w:rPr>
        <w:t>400</w:t>
      </w:r>
      <w:r>
        <w:rPr>
          <w:color w:val="auto"/>
          <w:highlight w:val="none"/>
          <w:lang w:bidi="ar"/>
        </w:rPr>
        <w:t>亿级迈进。在汽车零部件产业方面，引进吉文汽车等国家级“小巨人”企业，推动汽车配套产业向智能化、新能源转型。在肉牛深加工产业方面，以皓月集团为核心，延伸至生物医药领域，年产值突破百亿</w:t>
      </w:r>
      <w:r>
        <w:rPr>
          <w:rFonts w:hint="eastAsia"/>
          <w:color w:val="auto"/>
          <w:highlight w:val="none"/>
          <w:lang w:eastAsia="zh-CN" w:bidi="ar"/>
        </w:rPr>
        <w:t>元</w:t>
      </w:r>
      <w:r>
        <w:rPr>
          <w:color w:val="auto"/>
          <w:highlight w:val="none"/>
          <w:lang w:bidi="ar"/>
        </w:rPr>
        <w:t>。新兴产业加速发展，布局威和无人机、施耐利机器人等低空经济和智能制造企业。推动中研高分子公司建设聚醚醚酮（PEEK）三期项目，延伸至型材、膜、预浸料等高端制品。长春航</w:t>
      </w:r>
      <w:r>
        <w:rPr>
          <w:rFonts w:hint="eastAsia"/>
          <w:color w:val="auto"/>
          <w:highlight w:val="none"/>
          <w:lang w:val="en-US" w:eastAsia="zh-CN" w:bidi="ar"/>
        </w:rPr>
        <w:t>空</w:t>
      </w:r>
      <w:r>
        <w:rPr>
          <w:color w:val="auto"/>
          <w:highlight w:val="none"/>
          <w:lang w:bidi="ar"/>
        </w:rPr>
        <w:t>展带动文旅产业实现突破，</w:t>
      </w:r>
      <w:r>
        <w:rPr>
          <w:rFonts w:hint="eastAsia" w:ascii="Times New Roman" w:hAnsi="Times New Roman"/>
          <w:b w:val="0"/>
          <w:i w:val="0"/>
          <w:color w:val="auto"/>
          <w:highlight w:val="none"/>
          <w:lang w:val="en-US" w:eastAsia="zh-CN" w:bidi="ar"/>
        </w:rPr>
        <w:t>2025</w:t>
      </w:r>
      <w:r>
        <w:rPr>
          <w:rFonts w:hint="eastAsia"/>
          <w:color w:val="auto"/>
          <w:highlight w:val="none"/>
          <w:lang w:val="en-US" w:eastAsia="zh-CN" w:bidi="ar"/>
        </w:rPr>
        <w:t>年</w:t>
      </w:r>
      <w:r>
        <w:rPr>
          <w:color w:val="auto"/>
          <w:highlight w:val="none"/>
          <w:lang w:bidi="ar"/>
        </w:rPr>
        <w:t>观展人数</w:t>
      </w:r>
      <w:r>
        <w:rPr>
          <w:rFonts w:hint="eastAsia"/>
          <w:color w:val="auto"/>
          <w:highlight w:val="none"/>
          <w:lang w:val="en-US" w:eastAsia="zh-CN" w:bidi="ar"/>
        </w:rPr>
        <w:t>近</w:t>
      </w:r>
      <w:r>
        <w:rPr>
          <w:color w:val="auto"/>
          <w:highlight w:val="none"/>
          <w:lang w:bidi="ar"/>
        </w:rPr>
        <w:t>百万，伴随</w:t>
      </w:r>
      <w:r>
        <w:rPr>
          <w:rFonts w:hint="eastAsia"/>
          <w:color w:val="auto"/>
          <w:highlight w:val="none"/>
          <w:lang w:val="en-US" w:eastAsia="zh-CN" w:bidi="ar"/>
        </w:rPr>
        <w:t>中国</w:t>
      </w:r>
      <w:r>
        <w:rPr>
          <w:rFonts w:hint="eastAsia"/>
          <w:color w:val="auto"/>
          <w:highlight w:val="none"/>
          <w:lang w:eastAsia="zh-CN" w:bidi="ar"/>
        </w:rPr>
        <w:t>航空</w:t>
      </w:r>
      <w:r>
        <w:rPr>
          <w:color w:val="auto"/>
          <w:highlight w:val="none"/>
          <w:lang w:bidi="ar"/>
        </w:rPr>
        <w:t>博物馆的落地，长春国际航空博览城的开园，全国航空文化旅游目的地正在逐步形成。</w:t>
      </w:r>
      <w:r>
        <w:rPr>
          <w:rFonts w:hint="eastAsia"/>
          <w:color w:val="auto"/>
          <w:highlight w:val="none"/>
          <w:lang w:bidi="ar"/>
        </w:rPr>
        <w:t>技术创新持续提升，</w:t>
      </w:r>
      <w:r>
        <w:rPr>
          <w:color w:val="auto"/>
          <w:highlight w:val="none"/>
          <w:lang w:bidi="ar"/>
        </w:rPr>
        <w:t>截至</w:t>
      </w:r>
      <w:r>
        <w:rPr>
          <w:rFonts w:ascii="Times New Roman" w:hAnsi="Times New Roman"/>
          <w:b w:val="0"/>
          <w:i w:val="0"/>
          <w:color w:val="auto"/>
          <w:highlight w:val="none"/>
          <w:lang w:bidi="ar"/>
        </w:rPr>
        <w:t>2025</w:t>
      </w:r>
      <w:r>
        <w:rPr>
          <w:color w:val="auto"/>
          <w:highlight w:val="none"/>
          <w:lang w:bidi="ar"/>
        </w:rPr>
        <w:t>年，</w:t>
      </w:r>
      <w:r>
        <w:rPr>
          <w:rFonts w:hint="eastAsia"/>
          <w:color w:val="auto"/>
          <w:highlight w:val="none"/>
          <w:lang w:eastAsia="zh-CN" w:bidi="ar"/>
        </w:rPr>
        <w:t>国家级专精特新“小巨人”企业</w:t>
      </w:r>
      <w:r>
        <w:rPr>
          <w:rFonts w:hint="eastAsia" w:ascii="Times New Roman" w:hAnsi="Times New Roman"/>
          <w:b w:val="0"/>
          <w:i w:val="0"/>
          <w:color w:val="auto"/>
          <w:highlight w:val="none"/>
          <w:lang w:bidi="ar"/>
        </w:rPr>
        <w:t>4</w:t>
      </w:r>
      <w:r>
        <w:rPr>
          <w:rFonts w:hint="eastAsia"/>
          <w:color w:val="auto"/>
          <w:highlight w:val="none"/>
          <w:lang w:bidi="ar"/>
        </w:rPr>
        <w:t>户，省级“专精特新”企业</w:t>
      </w:r>
      <w:r>
        <w:rPr>
          <w:rFonts w:hint="eastAsia" w:ascii="Times New Roman" w:hAnsi="Times New Roman"/>
          <w:b w:val="0"/>
          <w:i w:val="0"/>
          <w:color w:val="auto"/>
          <w:highlight w:val="none"/>
          <w:lang w:bidi="ar"/>
        </w:rPr>
        <w:t>67</w:t>
      </w:r>
      <w:r>
        <w:rPr>
          <w:rFonts w:hint="eastAsia"/>
          <w:color w:val="auto"/>
          <w:highlight w:val="none"/>
          <w:lang w:bidi="ar"/>
        </w:rPr>
        <w:t>户，市级“专精特新”企业</w:t>
      </w:r>
      <w:r>
        <w:rPr>
          <w:rFonts w:hint="eastAsia" w:ascii="Times New Roman" w:hAnsi="Times New Roman"/>
          <w:b w:val="0"/>
          <w:i w:val="0"/>
          <w:color w:val="auto"/>
          <w:highlight w:val="none"/>
          <w:lang w:bidi="ar"/>
        </w:rPr>
        <w:t>129</w:t>
      </w:r>
      <w:r>
        <w:rPr>
          <w:rFonts w:hint="eastAsia"/>
          <w:color w:val="auto"/>
          <w:highlight w:val="none"/>
          <w:lang w:bidi="ar"/>
        </w:rPr>
        <w:t>户。</w:t>
      </w:r>
      <w:r>
        <w:rPr>
          <w:color w:val="auto"/>
          <w:highlight w:val="none"/>
          <w:lang w:bidi="ar"/>
        </w:rPr>
        <w:t>全区拥有国家高新技术企业</w:t>
      </w:r>
      <w:r>
        <w:rPr>
          <w:rFonts w:hint="eastAsia" w:ascii="Times New Roman" w:hAnsi="Times New Roman"/>
          <w:b w:val="0"/>
          <w:i w:val="0"/>
          <w:color w:val="auto"/>
          <w:highlight w:val="none"/>
          <w:lang w:val="en-US" w:eastAsia="zh-CN" w:bidi="ar"/>
        </w:rPr>
        <w:t>176</w:t>
      </w:r>
      <w:r>
        <w:rPr>
          <w:color w:val="auto"/>
          <w:highlight w:val="none"/>
          <w:lang w:bidi="ar"/>
        </w:rPr>
        <w:t>户，国家级技术中心</w:t>
      </w:r>
      <w:r>
        <w:rPr>
          <w:rFonts w:ascii="Times New Roman" w:hAnsi="Times New Roman"/>
          <w:b w:val="0"/>
          <w:i w:val="0"/>
          <w:color w:val="auto"/>
          <w:highlight w:val="none"/>
          <w:lang w:bidi="ar"/>
        </w:rPr>
        <w:t>1</w:t>
      </w:r>
      <w:r>
        <w:rPr>
          <w:color w:val="auto"/>
          <w:highlight w:val="none"/>
          <w:lang w:bidi="ar"/>
        </w:rPr>
        <w:t>家，省级技术中心</w:t>
      </w:r>
      <w:r>
        <w:rPr>
          <w:rFonts w:ascii="Times New Roman" w:hAnsi="Times New Roman"/>
          <w:b w:val="0"/>
          <w:i w:val="0"/>
          <w:color w:val="auto"/>
          <w:highlight w:val="none"/>
          <w:lang w:bidi="ar"/>
        </w:rPr>
        <w:t>14</w:t>
      </w:r>
      <w:r>
        <w:rPr>
          <w:color w:val="auto"/>
          <w:highlight w:val="none"/>
          <w:lang w:bidi="ar"/>
        </w:rPr>
        <w:t>家，市级技术中心</w:t>
      </w:r>
      <w:r>
        <w:rPr>
          <w:rFonts w:ascii="Times New Roman" w:hAnsi="Times New Roman"/>
          <w:b w:val="0"/>
          <w:i w:val="0"/>
          <w:color w:val="auto"/>
          <w:highlight w:val="none"/>
          <w:lang w:bidi="ar"/>
        </w:rPr>
        <w:t>25</w:t>
      </w:r>
      <w:r>
        <w:rPr>
          <w:color w:val="auto"/>
          <w:highlight w:val="none"/>
          <w:lang w:bidi="ar"/>
        </w:rPr>
        <w:t>家。科技成果转化效能倍增，</w:t>
      </w:r>
      <w:r>
        <w:rPr>
          <w:rFonts w:hint="eastAsia"/>
          <w:color w:val="auto"/>
          <w:highlight w:val="none"/>
          <w:lang w:eastAsia="zh-CN" w:bidi="ar"/>
        </w:rPr>
        <w:t>完成</w:t>
      </w:r>
      <w:r>
        <w:rPr>
          <w:rFonts w:hint="eastAsia" w:ascii="Times New Roman" w:hAnsi="Times New Roman"/>
          <w:b w:val="0"/>
          <w:i w:val="0"/>
          <w:color w:val="auto"/>
          <w:highlight w:val="none"/>
          <w:lang w:val="en-US" w:eastAsia="zh-CN" w:bidi="ar"/>
        </w:rPr>
        <w:t>科技成果转化94项，技术合同成交额达5.4亿元</w:t>
      </w:r>
      <w:r>
        <w:rPr>
          <w:color w:val="auto"/>
          <w:highlight w:val="none"/>
          <w:lang w:bidi="ar"/>
        </w:rPr>
        <w:t>。</w:t>
      </w:r>
    </w:p>
    <w:p>
      <w:pPr>
        <w:pStyle w:val="19"/>
        <w:pageBreakBefore w:val="0"/>
        <w:wordWrap/>
        <w:overflowPunct/>
        <w:autoSpaceDE/>
        <w:autoSpaceDN/>
        <w:bidi w:val="0"/>
        <w:spacing w:line="530" w:lineRule="exact"/>
        <w:ind w:firstLine="643"/>
        <w:rPr>
          <w:rFonts w:hint="default" w:eastAsia="仿宋_GB2312"/>
          <w:color w:val="auto"/>
          <w:highlight w:val="none"/>
          <w:lang w:val="en-US" w:eastAsia="zh-CN"/>
        </w:rPr>
      </w:pPr>
      <w:r>
        <w:rPr>
          <w:b/>
          <w:bCs/>
          <w:color w:val="auto"/>
          <w:highlight w:val="none"/>
          <w:lang w:bidi="ar"/>
        </w:rPr>
        <w:t>开放合作深入拓展，城乡融合扎实推进。</w:t>
      </w:r>
      <w:r>
        <w:rPr>
          <w:color w:val="auto"/>
          <w:highlight w:val="none"/>
          <w:lang w:bidi="ar"/>
        </w:rPr>
        <w:t>招商引资势头强劲，引进内资</w:t>
      </w:r>
      <w:r>
        <w:rPr>
          <w:rFonts w:ascii="Times New Roman" w:hAnsi="Times New Roman"/>
          <w:b w:val="0"/>
          <w:i w:val="0"/>
          <w:color w:val="auto"/>
          <w:highlight w:val="none"/>
          <w:lang w:bidi="ar"/>
        </w:rPr>
        <w:t>457</w:t>
      </w:r>
      <w:r>
        <w:rPr>
          <w:color w:val="auto"/>
          <w:highlight w:val="none"/>
          <w:lang w:bidi="ar"/>
        </w:rPr>
        <w:t>.</w:t>
      </w:r>
      <w:r>
        <w:rPr>
          <w:rFonts w:ascii="Times New Roman" w:hAnsi="Times New Roman"/>
          <w:b w:val="0"/>
          <w:i w:val="0"/>
          <w:color w:val="auto"/>
          <w:highlight w:val="none"/>
          <w:lang w:bidi="ar"/>
        </w:rPr>
        <w:t>2</w:t>
      </w:r>
      <w:r>
        <w:rPr>
          <w:color w:val="auto"/>
          <w:highlight w:val="none"/>
          <w:lang w:bidi="ar"/>
        </w:rPr>
        <w:t>亿元，新建</w:t>
      </w:r>
      <w:r>
        <w:rPr>
          <w:rFonts w:ascii="Times New Roman" w:hAnsi="Times New Roman"/>
          <w:b w:val="0"/>
          <w:i w:val="0"/>
          <w:color w:val="auto"/>
          <w:highlight w:val="none"/>
          <w:lang w:bidi="ar"/>
        </w:rPr>
        <w:t>5000</w:t>
      </w:r>
      <w:r>
        <w:rPr>
          <w:color w:val="auto"/>
          <w:highlight w:val="none"/>
          <w:lang w:bidi="ar"/>
        </w:rPr>
        <w:t>万元以上项目</w:t>
      </w:r>
      <w:r>
        <w:rPr>
          <w:rFonts w:hint="eastAsia" w:ascii="Times New Roman" w:hAnsi="Times New Roman"/>
          <w:b w:val="0"/>
          <w:i w:val="0"/>
          <w:color w:val="auto"/>
          <w:highlight w:val="none"/>
          <w:lang w:eastAsia="zh-CN" w:bidi="ar"/>
        </w:rPr>
        <w:t>上百</w:t>
      </w:r>
      <w:r>
        <w:rPr>
          <w:color w:val="auto"/>
          <w:highlight w:val="none"/>
          <w:lang w:bidi="ar"/>
        </w:rPr>
        <w:t>个，</w:t>
      </w:r>
      <w:r>
        <w:rPr>
          <w:rFonts w:hint="eastAsia"/>
          <w:color w:val="auto"/>
          <w:highlight w:val="none"/>
          <w:lang w:val="en-US" w:eastAsia="zh-CN" w:bidi="ar"/>
        </w:rPr>
        <w:t>涵盖</w:t>
      </w:r>
      <w:r>
        <w:rPr>
          <w:color w:val="auto"/>
          <w:highlight w:val="none"/>
          <w:lang w:bidi="ar"/>
        </w:rPr>
        <w:t>工业、服务业、基础设施等领域，为产业升级和经济结构优化奠定了基础。与杭州萧山区、天津河北区开展对口合作，促进产业链深度融合，全区进出口贸易额累计达到</w:t>
      </w:r>
      <w:r>
        <w:rPr>
          <w:rFonts w:hint="eastAsia" w:ascii="Times New Roman" w:hAnsi="Times New Roman"/>
          <w:b w:val="0"/>
          <w:i w:val="0"/>
          <w:color w:val="auto"/>
          <w:highlight w:val="none"/>
          <w:lang w:val="en-US" w:eastAsia="zh-CN" w:bidi="ar"/>
        </w:rPr>
        <w:t>24</w:t>
      </w:r>
      <w:r>
        <w:rPr>
          <w:rFonts w:hint="eastAsia"/>
          <w:color w:val="auto"/>
          <w:highlight w:val="none"/>
          <w:lang w:val="en-US" w:eastAsia="zh-CN" w:bidi="ar"/>
        </w:rPr>
        <w:t>.</w:t>
      </w:r>
      <w:r>
        <w:rPr>
          <w:rFonts w:hint="eastAsia" w:ascii="Times New Roman" w:hAnsi="Times New Roman"/>
          <w:b w:val="0"/>
          <w:i w:val="0"/>
          <w:color w:val="auto"/>
          <w:highlight w:val="none"/>
          <w:lang w:val="en-US" w:eastAsia="zh-CN" w:bidi="ar"/>
        </w:rPr>
        <w:t>3</w:t>
      </w:r>
      <w:r>
        <w:rPr>
          <w:rFonts w:hint="eastAsia"/>
          <w:color w:val="auto"/>
          <w:highlight w:val="none"/>
          <w:lang w:val="en-US" w:eastAsia="zh-CN" w:bidi="ar"/>
        </w:rPr>
        <w:t>亿</w:t>
      </w:r>
      <w:r>
        <w:rPr>
          <w:color w:val="auto"/>
          <w:highlight w:val="none"/>
          <w:lang w:bidi="ar"/>
        </w:rPr>
        <w:t>美元。西部门户逐步完善，长春西站年客流量从</w:t>
      </w:r>
      <w:r>
        <w:rPr>
          <w:rFonts w:ascii="Times New Roman" w:hAnsi="Times New Roman"/>
          <w:b w:val="0"/>
          <w:i w:val="0"/>
          <w:color w:val="auto"/>
          <w:highlight w:val="none"/>
          <w:lang w:bidi="ar"/>
        </w:rPr>
        <w:t>2020</w:t>
      </w:r>
      <w:r>
        <w:rPr>
          <w:color w:val="auto"/>
          <w:highlight w:val="none"/>
          <w:lang w:bidi="ar"/>
        </w:rPr>
        <w:t>年每天</w:t>
      </w:r>
      <w:r>
        <w:rPr>
          <w:rFonts w:hint="eastAsia" w:ascii="Times New Roman" w:hAnsi="Times New Roman"/>
          <w:b w:val="0"/>
          <w:i w:val="0"/>
          <w:color w:val="auto"/>
          <w:highlight w:val="none"/>
          <w:lang w:eastAsia="zh-CN" w:bidi="ar"/>
        </w:rPr>
        <w:t>0</w:t>
      </w:r>
      <w:r>
        <w:rPr>
          <w:rFonts w:hint="eastAsia"/>
          <w:color w:val="auto"/>
          <w:highlight w:val="none"/>
          <w:lang w:eastAsia="zh-CN" w:bidi="ar"/>
        </w:rPr>
        <w:t>.</w:t>
      </w:r>
      <w:r>
        <w:rPr>
          <w:rFonts w:hint="eastAsia" w:ascii="Times New Roman" w:hAnsi="Times New Roman"/>
          <w:b w:val="0"/>
          <w:i w:val="0"/>
          <w:color w:val="auto"/>
          <w:highlight w:val="none"/>
          <w:lang w:eastAsia="zh-CN" w:bidi="ar"/>
        </w:rPr>
        <w:t>9</w:t>
      </w:r>
      <w:r>
        <w:rPr>
          <w:rFonts w:hint="eastAsia"/>
          <w:color w:val="auto"/>
          <w:highlight w:val="none"/>
          <w:lang w:eastAsia="zh-CN" w:bidi="ar"/>
        </w:rPr>
        <w:t>万至</w:t>
      </w:r>
      <w:r>
        <w:rPr>
          <w:rFonts w:hint="eastAsia" w:ascii="Times New Roman" w:hAnsi="Times New Roman"/>
          <w:b w:val="0"/>
          <w:i w:val="0"/>
          <w:color w:val="auto"/>
          <w:highlight w:val="none"/>
          <w:lang w:eastAsia="zh-CN" w:bidi="ar"/>
        </w:rPr>
        <w:t>1</w:t>
      </w:r>
      <w:r>
        <w:rPr>
          <w:rFonts w:hint="eastAsia"/>
          <w:color w:val="auto"/>
          <w:highlight w:val="none"/>
          <w:lang w:eastAsia="zh-CN" w:bidi="ar"/>
        </w:rPr>
        <w:t>万</w:t>
      </w:r>
      <w:r>
        <w:rPr>
          <w:color w:val="auto"/>
          <w:highlight w:val="none"/>
          <w:lang w:bidi="ar"/>
        </w:rPr>
        <w:t>人增长到</w:t>
      </w:r>
      <w:r>
        <w:rPr>
          <w:rFonts w:ascii="Times New Roman" w:hAnsi="Times New Roman"/>
          <w:b w:val="0"/>
          <w:i w:val="0"/>
          <w:color w:val="auto"/>
          <w:highlight w:val="none"/>
          <w:lang w:bidi="ar"/>
        </w:rPr>
        <w:t>2024</w:t>
      </w:r>
      <w:r>
        <w:rPr>
          <w:color w:val="auto"/>
          <w:highlight w:val="none"/>
          <w:lang w:bidi="ar"/>
        </w:rPr>
        <w:t>年每天</w:t>
      </w:r>
      <w:r>
        <w:rPr>
          <w:rFonts w:hint="eastAsia" w:ascii="Times New Roman" w:hAnsi="Times New Roman"/>
          <w:b w:val="0"/>
          <w:i w:val="0"/>
          <w:color w:val="auto"/>
          <w:highlight w:val="none"/>
          <w:lang w:eastAsia="zh-CN" w:bidi="ar"/>
        </w:rPr>
        <w:t>1</w:t>
      </w:r>
      <w:r>
        <w:rPr>
          <w:rFonts w:hint="eastAsia"/>
          <w:color w:val="auto"/>
          <w:highlight w:val="none"/>
          <w:lang w:eastAsia="zh-CN" w:bidi="ar"/>
        </w:rPr>
        <w:t>.</w:t>
      </w:r>
      <w:r>
        <w:rPr>
          <w:rFonts w:hint="eastAsia" w:ascii="Times New Roman" w:hAnsi="Times New Roman"/>
          <w:b w:val="0"/>
          <w:i w:val="0"/>
          <w:color w:val="auto"/>
          <w:highlight w:val="none"/>
          <w:lang w:eastAsia="zh-CN" w:bidi="ar"/>
        </w:rPr>
        <w:t>1</w:t>
      </w:r>
      <w:r>
        <w:rPr>
          <w:rFonts w:hint="eastAsia"/>
          <w:color w:val="auto"/>
          <w:highlight w:val="none"/>
          <w:lang w:eastAsia="zh-CN" w:bidi="ar"/>
        </w:rPr>
        <w:t>万至</w:t>
      </w:r>
      <w:r>
        <w:rPr>
          <w:rFonts w:hint="eastAsia" w:ascii="Times New Roman" w:hAnsi="Times New Roman"/>
          <w:b w:val="0"/>
          <w:i w:val="0"/>
          <w:color w:val="auto"/>
          <w:highlight w:val="none"/>
          <w:lang w:eastAsia="zh-CN" w:bidi="ar"/>
        </w:rPr>
        <w:t>1</w:t>
      </w:r>
      <w:r>
        <w:rPr>
          <w:rFonts w:hint="eastAsia"/>
          <w:color w:val="auto"/>
          <w:highlight w:val="none"/>
          <w:lang w:eastAsia="zh-CN" w:bidi="ar"/>
        </w:rPr>
        <w:t>.</w:t>
      </w:r>
      <w:r>
        <w:rPr>
          <w:rFonts w:hint="eastAsia" w:ascii="Times New Roman" w:hAnsi="Times New Roman"/>
          <w:b w:val="0"/>
          <w:i w:val="0"/>
          <w:color w:val="auto"/>
          <w:highlight w:val="none"/>
          <w:lang w:eastAsia="zh-CN" w:bidi="ar"/>
        </w:rPr>
        <w:t>3</w:t>
      </w:r>
      <w:r>
        <w:rPr>
          <w:rFonts w:hint="eastAsia"/>
          <w:color w:val="auto"/>
          <w:highlight w:val="none"/>
          <w:lang w:eastAsia="zh-CN" w:bidi="ar"/>
        </w:rPr>
        <w:t>万</w:t>
      </w:r>
      <w:r>
        <w:rPr>
          <w:color w:val="auto"/>
          <w:highlight w:val="none"/>
          <w:lang w:bidi="ar"/>
        </w:rPr>
        <w:t>人，</w:t>
      </w:r>
      <w:r>
        <w:rPr>
          <w:rFonts w:ascii="Times New Roman" w:hAnsi="Times New Roman"/>
          <w:b w:val="0"/>
          <w:i w:val="0"/>
          <w:color w:val="auto"/>
          <w:highlight w:val="none"/>
          <w:lang w:bidi="ar"/>
        </w:rPr>
        <w:t>2024</w:t>
      </w:r>
      <w:r>
        <w:rPr>
          <w:color w:val="auto"/>
          <w:highlight w:val="none"/>
          <w:lang w:bidi="ar"/>
        </w:rPr>
        <w:t>年西客站车次提升至</w:t>
      </w:r>
      <w:r>
        <w:rPr>
          <w:rFonts w:ascii="Times New Roman" w:hAnsi="Times New Roman"/>
          <w:b w:val="0"/>
          <w:i w:val="0"/>
          <w:color w:val="auto"/>
          <w:highlight w:val="none"/>
          <w:lang w:bidi="ar"/>
        </w:rPr>
        <w:t>171</w:t>
      </w:r>
      <w:r>
        <w:rPr>
          <w:color w:val="auto"/>
          <w:highlight w:val="none"/>
          <w:lang w:bidi="ar"/>
        </w:rPr>
        <w:t>条，较</w:t>
      </w:r>
      <w:r>
        <w:rPr>
          <w:rFonts w:ascii="Times New Roman" w:hAnsi="Times New Roman"/>
          <w:b w:val="0"/>
          <w:i w:val="0"/>
          <w:color w:val="auto"/>
          <w:highlight w:val="none"/>
          <w:lang w:bidi="ar"/>
        </w:rPr>
        <w:t>2020</w:t>
      </w:r>
      <w:r>
        <w:rPr>
          <w:color w:val="auto"/>
          <w:highlight w:val="none"/>
          <w:lang w:bidi="ar"/>
        </w:rPr>
        <w:t>年提升</w:t>
      </w:r>
      <w:r>
        <w:rPr>
          <w:rFonts w:ascii="Times New Roman" w:hAnsi="Times New Roman"/>
          <w:b w:val="0"/>
          <w:i w:val="0"/>
          <w:color w:val="auto"/>
          <w:highlight w:val="none"/>
          <w:lang w:bidi="ar"/>
        </w:rPr>
        <w:t>30</w:t>
      </w:r>
      <w:r>
        <w:rPr>
          <w:color w:val="auto"/>
          <w:highlight w:val="none"/>
          <w:lang w:bidi="ar"/>
        </w:rPr>
        <w:t>%。地铁</w:t>
      </w:r>
      <w:r>
        <w:rPr>
          <w:rFonts w:ascii="Times New Roman" w:hAnsi="Times New Roman"/>
          <w:b w:val="0"/>
          <w:i w:val="0"/>
          <w:color w:val="auto"/>
          <w:highlight w:val="none"/>
          <w:lang w:bidi="ar"/>
        </w:rPr>
        <w:t>6</w:t>
      </w:r>
      <w:r>
        <w:rPr>
          <w:color w:val="auto"/>
          <w:highlight w:val="none"/>
          <w:lang w:bidi="ar"/>
        </w:rPr>
        <w:t>号线正式开通，长春西站成为地铁</w:t>
      </w:r>
      <w:r>
        <w:rPr>
          <w:rFonts w:ascii="Times New Roman" w:hAnsi="Times New Roman"/>
          <w:b w:val="0"/>
          <w:i w:val="0"/>
          <w:color w:val="auto"/>
          <w:highlight w:val="none"/>
          <w:lang w:bidi="ar"/>
        </w:rPr>
        <w:t>2</w:t>
      </w:r>
      <w:r>
        <w:rPr>
          <w:color w:val="auto"/>
          <w:highlight w:val="none"/>
          <w:lang w:bidi="ar"/>
        </w:rPr>
        <w:t>号线与</w:t>
      </w:r>
      <w:r>
        <w:rPr>
          <w:rFonts w:ascii="Times New Roman" w:hAnsi="Times New Roman"/>
          <w:b w:val="0"/>
          <w:i w:val="0"/>
          <w:color w:val="auto"/>
          <w:highlight w:val="none"/>
          <w:lang w:bidi="ar"/>
        </w:rPr>
        <w:t>6</w:t>
      </w:r>
      <w:r>
        <w:rPr>
          <w:color w:val="auto"/>
          <w:highlight w:val="none"/>
          <w:lang w:bidi="ar"/>
        </w:rPr>
        <w:t>号线的换乘枢纽。随着中海景阳公馆写字楼、浙江大学医学院附属</w:t>
      </w:r>
      <w:r>
        <w:rPr>
          <w:rFonts w:hint="eastAsia"/>
          <w:color w:val="auto"/>
          <w:highlight w:val="none"/>
          <w:lang w:val="en-US" w:eastAsia="zh-CN" w:bidi="ar"/>
        </w:rPr>
        <w:t>妇产科</w:t>
      </w:r>
      <w:r>
        <w:rPr>
          <w:color w:val="auto"/>
          <w:highlight w:val="none"/>
          <w:lang w:bidi="ar"/>
        </w:rPr>
        <w:t>医院</w:t>
      </w:r>
      <w:r>
        <w:rPr>
          <w:rFonts w:hint="eastAsia"/>
          <w:color w:val="auto"/>
          <w:highlight w:val="none"/>
          <w:lang w:val="en-US" w:eastAsia="zh-CN" w:bidi="ar"/>
        </w:rPr>
        <w:t>吉林</w:t>
      </w:r>
      <w:r>
        <w:rPr>
          <w:color w:val="auto"/>
          <w:highlight w:val="none"/>
          <w:lang w:bidi="ar"/>
        </w:rPr>
        <w:t>医院</w:t>
      </w:r>
      <w:r>
        <w:rPr>
          <w:rFonts w:hint="eastAsia"/>
          <w:color w:val="auto"/>
          <w:highlight w:val="none"/>
          <w:lang w:bidi="ar"/>
        </w:rPr>
        <w:t>等相关设施的运营使用</w:t>
      </w:r>
      <w:r>
        <w:rPr>
          <w:color w:val="auto"/>
          <w:highlight w:val="none"/>
          <w:lang w:bidi="ar"/>
        </w:rPr>
        <w:t>，西客站前现代服务业加速集聚，逐步完善西部门户的高能级服务枢纽。城乡一体化持续</w:t>
      </w:r>
      <w:r>
        <w:rPr>
          <w:rFonts w:hint="eastAsia"/>
          <w:color w:val="auto"/>
          <w:highlight w:val="none"/>
          <w:lang w:val="en-US" w:eastAsia="zh-CN" w:bidi="ar"/>
        </w:rPr>
        <w:t>推进</w:t>
      </w:r>
      <w:r>
        <w:rPr>
          <w:color w:val="auto"/>
          <w:highlight w:val="none"/>
          <w:lang w:bidi="ar"/>
        </w:rPr>
        <w:t>，</w:t>
      </w:r>
      <w:r>
        <w:rPr>
          <w:rFonts w:hint="eastAsia"/>
          <w:color w:val="auto"/>
          <w:highlight w:val="none"/>
          <w:lang w:val="en-US" w:eastAsia="zh-CN" w:bidi="ar"/>
        </w:rPr>
        <w:t>构建</w:t>
      </w:r>
      <w:r>
        <w:rPr>
          <w:color w:val="auto"/>
          <w:highlight w:val="none"/>
          <w:lang w:bidi="ar"/>
        </w:rPr>
        <w:t>“四型”围城经济，</w:t>
      </w:r>
      <w:r>
        <w:rPr>
          <w:rFonts w:hint="eastAsia"/>
          <w:color w:val="auto"/>
          <w:highlight w:val="none"/>
          <w:lang w:bidi="ar"/>
        </w:rPr>
        <w:t>全区</w:t>
      </w:r>
      <w:r>
        <w:rPr>
          <w:rFonts w:hint="eastAsia" w:ascii="Times New Roman" w:hAnsi="Times New Roman"/>
          <w:b w:val="0"/>
          <w:i w:val="0"/>
          <w:color w:val="auto"/>
          <w:highlight w:val="none"/>
          <w:lang w:bidi="ar"/>
        </w:rPr>
        <w:t>24</w:t>
      </w:r>
      <w:r>
        <w:rPr>
          <w:rFonts w:hint="eastAsia"/>
          <w:color w:val="auto"/>
          <w:highlight w:val="none"/>
          <w:lang w:bidi="ar"/>
        </w:rPr>
        <w:t>个村集体经济年收入全部突破</w:t>
      </w:r>
      <w:r>
        <w:rPr>
          <w:rFonts w:hint="eastAsia" w:ascii="Times New Roman" w:hAnsi="Times New Roman"/>
          <w:b w:val="0"/>
          <w:i w:val="0"/>
          <w:color w:val="auto"/>
          <w:highlight w:val="none"/>
          <w:lang w:bidi="ar"/>
        </w:rPr>
        <w:t>50</w:t>
      </w:r>
      <w:r>
        <w:rPr>
          <w:rFonts w:hint="eastAsia"/>
          <w:color w:val="auto"/>
          <w:highlight w:val="none"/>
          <w:lang w:bidi="ar"/>
        </w:rPr>
        <w:t>万元。乡村振兴成果丰硕，打造裴家村观光园、红民文旅度假村等农文旅项目</w:t>
      </w:r>
      <w:r>
        <w:rPr>
          <w:rFonts w:hint="eastAsia"/>
          <w:color w:val="auto"/>
          <w:highlight w:val="none"/>
          <w:lang w:eastAsia="zh-CN" w:bidi="ar"/>
        </w:rPr>
        <w:t>。</w:t>
      </w:r>
      <w:r>
        <w:rPr>
          <w:color w:val="auto"/>
          <w:highlight w:val="none"/>
          <w:lang w:bidi="ar"/>
        </w:rPr>
        <w:t>截至</w:t>
      </w:r>
      <w:r>
        <w:rPr>
          <w:rFonts w:ascii="Times New Roman" w:hAnsi="Times New Roman"/>
          <w:b w:val="0"/>
          <w:i w:val="0"/>
          <w:color w:val="auto"/>
          <w:highlight w:val="none"/>
          <w:lang w:bidi="ar"/>
        </w:rPr>
        <w:t>202</w:t>
      </w:r>
      <w:r>
        <w:rPr>
          <w:rFonts w:hint="eastAsia"/>
          <w:b w:val="0"/>
          <w:i w:val="0"/>
          <w:color w:val="auto"/>
          <w:highlight w:val="none"/>
          <w:lang w:val="en-US" w:eastAsia="zh-CN" w:bidi="ar"/>
        </w:rPr>
        <w:t>5</w:t>
      </w:r>
      <w:r>
        <w:rPr>
          <w:color w:val="auto"/>
          <w:highlight w:val="none"/>
          <w:lang w:bidi="ar"/>
        </w:rPr>
        <w:t>年，</w:t>
      </w:r>
      <w:r>
        <w:rPr>
          <w:rFonts w:hint="eastAsia"/>
          <w:color w:val="auto"/>
          <w:highlight w:val="none"/>
          <w:lang w:val="en-US" w:eastAsia="zh-CN" w:bidi="ar"/>
        </w:rPr>
        <w:t>累计</w:t>
      </w:r>
      <w:r>
        <w:rPr>
          <w:color w:val="auto"/>
          <w:highlight w:val="none"/>
          <w:lang w:bidi="ar"/>
        </w:rPr>
        <w:t>改造农村公路</w:t>
      </w:r>
      <w:r>
        <w:rPr>
          <w:rFonts w:ascii="Times New Roman" w:hAnsi="Times New Roman"/>
          <w:b w:val="0"/>
          <w:i w:val="0"/>
          <w:color w:val="auto"/>
          <w:highlight w:val="none"/>
          <w:lang w:bidi="ar"/>
        </w:rPr>
        <w:t>55</w:t>
      </w:r>
      <w:r>
        <w:rPr>
          <w:color w:val="auto"/>
          <w:highlight w:val="none"/>
          <w:lang w:bidi="ar"/>
        </w:rPr>
        <w:t>条，共</w:t>
      </w:r>
      <w:r>
        <w:rPr>
          <w:rFonts w:ascii="Times New Roman" w:hAnsi="Times New Roman"/>
          <w:b w:val="0"/>
          <w:i w:val="0"/>
          <w:color w:val="auto"/>
          <w:highlight w:val="none"/>
          <w:lang w:bidi="ar"/>
        </w:rPr>
        <w:t>77</w:t>
      </w:r>
      <w:r>
        <w:rPr>
          <w:color w:val="auto"/>
          <w:highlight w:val="none"/>
          <w:lang w:bidi="ar"/>
        </w:rPr>
        <w:t>公里，总投资</w:t>
      </w:r>
      <w:r>
        <w:rPr>
          <w:rFonts w:ascii="Times New Roman" w:hAnsi="Times New Roman"/>
          <w:b w:val="0"/>
          <w:i w:val="0"/>
          <w:color w:val="auto"/>
          <w:highlight w:val="none"/>
          <w:lang w:bidi="ar"/>
        </w:rPr>
        <w:t>6400</w:t>
      </w:r>
      <w:r>
        <w:rPr>
          <w:color w:val="auto"/>
          <w:highlight w:val="none"/>
          <w:lang w:bidi="ar"/>
        </w:rPr>
        <w:t>万元。</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lang w:bidi="ar"/>
        </w:rPr>
        <w:t>生态环境显著改善，绿色发展</w:t>
      </w:r>
      <w:r>
        <w:rPr>
          <w:rFonts w:hint="eastAsia"/>
          <w:b/>
          <w:bCs/>
          <w:color w:val="auto"/>
          <w:highlight w:val="none"/>
          <w:lang w:val="en-US" w:eastAsia="zh-CN" w:bidi="ar"/>
        </w:rPr>
        <w:t>持续</w:t>
      </w:r>
      <w:r>
        <w:rPr>
          <w:b/>
          <w:bCs/>
          <w:color w:val="auto"/>
          <w:highlight w:val="none"/>
          <w:lang w:bidi="ar"/>
        </w:rPr>
        <w:t>深化。</w:t>
      </w:r>
      <w:r>
        <w:rPr>
          <w:color w:val="auto"/>
          <w:highlight w:val="none"/>
          <w:lang w:bidi="ar"/>
        </w:rPr>
        <w:t>生态环境显著改善，年均优良天数比例达</w:t>
      </w:r>
      <w:r>
        <w:rPr>
          <w:rFonts w:hint="eastAsia" w:ascii="Times New Roman" w:hAnsi="Times New Roman"/>
          <w:b w:val="0"/>
          <w:i w:val="0"/>
          <w:color w:val="auto"/>
          <w:highlight w:val="none"/>
          <w:lang w:val="en-US" w:eastAsia="zh-CN" w:bidi="ar"/>
        </w:rPr>
        <w:t>88</w:t>
      </w:r>
      <w:r>
        <w:rPr>
          <w:color w:val="auto"/>
          <w:highlight w:val="none"/>
          <w:lang w:bidi="ar"/>
        </w:rPr>
        <w:t>%，较</w:t>
      </w:r>
      <w:r>
        <w:rPr>
          <w:rFonts w:ascii="Times New Roman" w:hAnsi="Times New Roman"/>
          <w:b w:val="0"/>
          <w:i w:val="0"/>
          <w:color w:val="auto"/>
          <w:highlight w:val="none"/>
          <w:lang w:bidi="ar"/>
        </w:rPr>
        <w:t>2020</w:t>
      </w:r>
      <w:r>
        <w:rPr>
          <w:color w:val="auto"/>
          <w:highlight w:val="none"/>
          <w:lang w:bidi="ar"/>
        </w:rPr>
        <w:t>年提升</w:t>
      </w:r>
      <w:r>
        <w:rPr>
          <w:rFonts w:hint="eastAsia"/>
          <w:color w:val="auto"/>
          <w:highlight w:val="none"/>
          <w:lang w:eastAsia="zh-CN" w:bidi="ar"/>
        </w:rPr>
        <w:t>近</w:t>
      </w:r>
      <w:r>
        <w:rPr>
          <w:rFonts w:hint="eastAsia"/>
          <w:color w:val="auto"/>
          <w:highlight w:val="none"/>
          <w:lang w:val="en-US" w:eastAsia="zh-CN" w:bidi="ar"/>
        </w:rPr>
        <w:t>5</w:t>
      </w:r>
      <w:r>
        <w:rPr>
          <w:color w:val="auto"/>
          <w:highlight w:val="none"/>
          <w:lang w:bidi="ar"/>
        </w:rPr>
        <w:t>个百分点。PM</w:t>
      </w:r>
      <w:r>
        <w:rPr>
          <w:rFonts w:ascii="Times New Roman" w:hAnsi="Times New Roman"/>
          <w:b w:val="0"/>
          <w:i w:val="0"/>
          <w:color w:val="auto"/>
          <w:highlight w:val="none"/>
          <w:lang w:bidi="ar"/>
        </w:rPr>
        <w:t>2</w:t>
      </w:r>
      <w:r>
        <w:rPr>
          <w:color w:val="auto"/>
          <w:highlight w:val="none"/>
          <w:lang w:bidi="ar"/>
        </w:rPr>
        <w:t>.</w:t>
      </w:r>
      <w:r>
        <w:rPr>
          <w:rFonts w:ascii="Times New Roman" w:hAnsi="Times New Roman"/>
          <w:b w:val="0"/>
          <w:i w:val="0"/>
          <w:color w:val="auto"/>
          <w:highlight w:val="none"/>
          <w:lang w:bidi="ar"/>
        </w:rPr>
        <w:t>5</w:t>
      </w:r>
      <w:r>
        <w:rPr>
          <w:color w:val="auto"/>
          <w:highlight w:val="none"/>
          <w:lang w:bidi="ar"/>
        </w:rPr>
        <w:t>年均浓度下降至</w:t>
      </w:r>
      <w:r>
        <w:rPr>
          <w:rFonts w:ascii="Times New Roman" w:hAnsi="Times New Roman"/>
          <w:b w:val="0"/>
          <w:i w:val="0"/>
          <w:color w:val="auto"/>
          <w:highlight w:val="none"/>
          <w:lang w:bidi="ar"/>
        </w:rPr>
        <w:t>36</w:t>
      </w:r>
      <w:r>
        <w:rPr>
          <w:color w:val="auto"/>
          <w:highlight w:val="none"/>
          <w:lang w:bidi="ar"/>
        </w:rPr>
        <w:t>μg/m</w:t>
      </w:r>
      <w:r>
        <w:rPr>
          <w:rFonts w:ascii="Times New Roman" w:hAnsi="Times New Roman"/>
          <w:b w:val="0"/>
          <w:i w:val="0"/>
          <w:color w:val="auto"/>
          <w:highlight w:val="none"/>
          <w:vertAlign w:val="superscript"/>
          <w:lang w:bidi="ar"/>
        </w:rPr>
        <w:t>3</w:t>
      </w:r>
      <w:r>
        <w:rPr>
          <w:color w:val="auto"/>
          <w:highlight w:val="none"/>
          <w:lang w:bidi="ar"/>
        </w:rPr>
        <w:t>，退出全省大气污染重点区域行列。累计淘汰</w:t>
      </w:r>
      <w:r>
        <w:rPr>
          <w:rFonts w:ascii="Times New Roman" w:hAnsi="Times New Roman"/>
          <w:b w:val="0"/>
          <w:i w:val="0"/>
          <w:color w:val="auto"/>
          <w:highlight w:val="none"/>
          <w:lang w:bidi="ar"/>
        </w:rPr>
        <w:t>20</w:t>
      </w:r>
      <w:r>
        <w:rPr>
          <w:color w:val="auto"/>
          <w:highlight w:val="none"/>
          <w:lang w:bidi="ar"/>
        </w:rPr>
        <w:t>蒸吨以下燃煤锅炉</w:t>
      </w:r>
      <w:r>
        <w:rPr>
          <w:rFonts w:ascii="Times New Roman" w:hAnsi="Times New Roman"/>
          <w:b w:val="0"/>
          <w:i w:val="0"/>
          <w:color w:val="auto"/>
          <w:highlight w:val="none"/>
          <w:lang w:bidi="ar"/>
        </w:rPr>
        <w:t>15</w:t>
      </w:r>
      <w:r>
        <w:rPr>
          <w:rFonts w:hint="eastAsia"/>
          <w:color w:val="auto"/>
          <w:highlight w:val="none"/>
          <w:lang w:eastAsia="zh-CN" w:bidi="ar"/>
        </w:rPr>
        <w:t>台，</w:t>
      </w:r>
      <w:r>
        <w:rPr>
          <w:color w:val="auto"/>
          <w:highlight w:val="none"/>
          <w:lang w:bidi="ar"/>
        </w:rPr>
        <w:t>削减二氧化硫排放量超</w:t>
      </w:r>
      <w:r>
        <w:rPr>
          <w:rFonts w:hint="eastAsia"/>
          <w:color w:val="auto"/>
          <w:highlight w:val="none"/>
          <w:lang w:val="en-US" w:eastAsia="zh-CN" w:bidi="ar"/>
        </w:rPr>
        <w:t>过</w:t>
      </w:r>
      <w:r>
        <w:rPr>
          <w:rFonts w:ascii="Times New Roman" w:hAnsi="Times New Roman"/>
          <w:b w:val="0"/>
          <w:i w:val="0"/>
          <w:color w:val="auto"/>
          <w:highlight w:val="none"/>
          <w:lang w:bidi="ar"/>
        </w:rPr>
        <w:t>0</w:t>
      </w:r>
      <w:r>
        <w:rPr>
          <w:color w:val="auto"/>
          <w:highlight w:val="none"/>
          <w:lang w:bidi="ar"/>
        </w:rPr>
        <w:t>.</w:t>
      </w:r>
      <w:r>
        <w:rPr>
          <w:rFonts w:ascii="Times New Roman" w:hAnsi="Times New Roman"/>
          <w:b w:val="0"/>
          <w:i w:val="0"/>
          <w:color w:val="auto"/>
          <w:highlight w:val="none"/>
          <w:lang w:bidi="ar"/>
        </w:rPr>
        <w:t>2</w:t>
      </w:r>
      <w:r>
        <w:rPr>
          <w:color w:val="auto"/>
          <w:highlight w:val="none"/>
          <w:lang w:bidi="ar"/>
        </w:rPr>
        <w:t>万吨。治理</w:t>
      </w:r>
      <w:r>
        <w:rPr>
          <w:rFonts w:ascii="Times New Roman" w:hAnsi="Times New Roman"/>
          <w:b w:val="0"/>
          <w:i w:val="0"/>
          <w:color w:val="auto"/>
          <w:highlight w:val="none"/>
          <w:lang w:bidi="ar"/>
        </w:rPr>
        <w:t>16</w:t>
      </w:r>
      <w:r>
        <w:rPr>
          <w:color w:val="auto"/>
          <w:highlight w:val="none"/>
          <w:lang w:bidi="ar"/>
        </w:rPr>
        <w:t>处黑臭水体，双龙沟、翟家明沟等</w:t>
      </w:r>
      <w:r>
        <w:rPr>
          <w:rFonts w:hint="eastAsia"/>
          <w:color w:val="auto"/>
          <w:highlight w:val="none"/>
          <w:lang w:val="en-US" w:eastAsia="zh-CN" w:bidi="ar"/>
        </w:rPr>
        <w:t>水域</w:t>
      </w:r>
      <w:r>
        <w:rPr>
          <w:color w:val="auto"/>
          <w:highlight w:val="none"/>
          <w:lang w:bidi="ar"/>
        </w:rPr>
        <w:t>实现“水清岸绿”</w:t>
      </w:r>
      <w:r>
        <w:rPr>
          <w:rFonts w:hint="eastAsia"/>
          <w:color w:val="auto"/>
          <w:highlight w:val="none"/>
          <w:lang w:eastAsia="zh-CN" w:bidi="ar"/>
        </w:rPr>
        <w:t>，</w:t>
      </w:r>
      <w:r>
        <w:rPr>
          <w:color w:val="auto"/>
          <w:highlight w:val="none"/>
          <w:lang w:bidi="ar"/>
        </w:rPr>
        <w:t>黑臭水体清零，推进同心湖公园</w:t>
      </w:r>
      <w:r>
        <w:rPr>
          <w:rFonts w:hint="eastAsia"/>
          <w:color w:val="auto"/>
          <w:highlight w:val="none"/>
          <w:lang w:val="en-US" w:eastAsia="zh-CN" w:bidi="ar"/>
        </w:rPr>
        <w:t>等</w:t>
      </w:r>
      <w:r>
        <w:rPr>
          <w:color w:val="auto"/>
          <w:highlight w:val="none"/>
          <w:lang w:bidi="ar"/>
        </w:rPr>
        <w:t>生态治理，水体达标。农村环境治理推进，通过乡村振兴项目累计建设完成</w:t>
      </w:r>
      <w:r>
        <w:rPr>
          <w:rFonts w:ascii="Times New Roman" w:hAnsi="Times New Roman"/>
          <w:b w:val="0"/>
          <w:i w:val="0"/>
          <w:color w:val="auto"/>
          <w:highlight w:val="none"/>
          <w:lang w:bidi="ar"/>
        </w:rPr>
        <w:t>23</w:t>
      </w:r>
      <w:r>
        <w:rPr>
          <w:color w:val="auto"/>
          <w:highlight w:val="none"/>
          <w:lang w:bidi="ar"/>
        </w:rPr>
        <w:t>.</w:t>
      </w:r>
      <w:r>
        <w:rPr>
          <w:rFonts w:ascii="Times New Roman" w:hAnsi="Times New Roman"/>
          <w:b w:val="0"/>
          <w:i w:val="0"/>
          <w:color w:val="auto"/>
          <w:highlight w:val="none"/>
          <w:lang w:bidi="ar"/>
        </w:rPr>
        <w:t>5</w:t>
      </w:r>
      <w:r>
        <w:rPr>
          <w:color w:val="auto"/>
          <w:highlight w:val="none"/>
          <w:lang w:bidi="ar"/>
        </w:rPr>
        <w:t>公里农村生活污水收集管网，覆盖</w:t>
      </w:r>
      <w:r>
        <w:rPr>
          <w:rFonts w:ascii="Times New Roman" w:hAnsi="Times New Roman"/>
          <w:b w:val="0"/>
          <w:i w:val="0"/>
          <w:color w:val="auto"/>
          <w:highlight w:val="none"/>
          <w:lang w:bidi="ar"/>
        </w:rPr>
        <w:t>8</w:t>
      </w:r>
      <w:r>
        <w:rPr>
          <w:color w:val="auto"/>
          <w:highlight w:val="none"/>
          <w:lang w:bidi="ar"/>
        </w:rPr>
        <w:t>个村屯</w:t>
      </w:r>
      <w:r>
        <w:rPr>
          <w:rFonts w:hint="eastAsia"/>
          <w:color w:val="auto"/>
          <w:highlight w:val="none"/>
          <w:lang w:eastAsia="zh-CN" w:bidi="ar"/>
        </w:rPr>
        <w:t>；</w:t>
      </w:r>
      <w:r>
        <w:rPr>
          <w:color w:val="auto"/>
          <w:highlight w:val="none"/>
          <w:lang w:bidi="ar"/>
        </w:rPr>
        <w:t>完成户厕改造</w:t>
      </w:r>
      <w:r>
        <w:rPr>
          <w:rFonts w:hint="eastAsia" w:ascii="Times New Roman" w:hAnsi="Times New Roman"/>
          <w:b w:val="0"/>
          <w:i w:val="0"/>
          <w:color w:val="auto"/>
          <w:highlight w:val="none"/>
          <w:lang w:val="en-US" w:eastAsia="zh-CN" w:bidi="ar"/>
        </w:rPr>
        <w:t>6969</w:t>
      </w:r>
      <w:r>
        <w:rPr>
          <w:color w:val="auto"/>
          <w:highlight w:val="none"/>
          <w:lang w:bidi="ar"/>
        </w:rPr>
        <w:t>座，打造“千村美丽”村</w:t>
      </w:r>
      <w:r>
        <w:rPr>
          <w:rFonts w:ascii="Times New Roman" w:hAnsi="Times New Roman"/>
          <w:b w:val="0"/>
          <w:i w:val="0"/>
          <w:color w:val="auto"/>
          <w:highlight w:val="none"/>
          <w:lang w:bidi="ar"/>
        </w:rPr>
        <w:t>7</w:t>
      </w:r>
      <w:r>
        <w:rPr>
          <w:color w:val="auto"/>
          <w:highlight w:val="none"/>
          <w:lang w:bidi="ar"/>
        </w:rPr>
        <w:t>个、“百村示范”村</w:t>
      </w:r>
      <w:r>
        <w:rPr>
          <w:rFonts w:hint="eastAsia" w:ascii="Times New Roman" w:hAnsi="Times New Roman"/>
          <w:b w:val="0"/>
          <w:i w:val="0"/>
          <w:color w:val="auto"/>
          <w:highlight w:val="none"/>
          <w:lang w:val="en-US" w:eastAsia="zh-CN" w:bidi="ar"/>
        </w:rPr>
        <w:t>5</w:t>
      </w:r>
      <w:r>
        <w:rPr>
          <w:color w:val="auto"/>
          <w:highlight w:val="none"/>
          <w:lang w:bidi="ar"/>
        </w:rPr>
        <w:t>个。农业面源污染防控，推广“户分类、村收集、镇管理、区统运”模式；秸秆综合利用率超</w:t>
      </w:r>
      <w:r>
        <w:rPr>
          <w:rFonts w:ascii="Times New Roman" w:hAnsi="Times New Roman"/>
          <w:b w:val="0"/>
          <w:i w:val="0"/>
          <w:color w:val="auto"/>
          <w:highlight w:val="none"/>
          <w:lang w:bidi="ar"/>
        </w:rPr>
        <w:t>90</w:t>
      </w:r>
      <w:r>
        <w:rPr>
          <w:color w:val="auto"/>
          <w:highlight w:val="none"/>
          <w:lang w:bidi="ar"/>
        </w:rPr>
        <w:t>%，连续五年实现“零火点”。全区持续推进“无废城市”建设，推动制造业绿色转型，新增省级绿色工厂、绿色供应链管理企业</w:t>
      </w:r>
      <w:r>
        <w:rPr>
          <w:rFonts w:hint="eastAsia"/>
          <w:color w:val="auto"/>
          <w:highlight w:val="none"/>
          <w:lang w:eastAsia="zh-CN" w:bidi="ar"/>
        </w:rPr>
        <w:t>各</w:t>
      </w:r>
      <w:r>
        <w:rPr>
          <w:rFonts w:ascii="Times New Roman" w:hAnsi="Times New Roman"/>
          <w:b w:val="0"/>
          <w:i w:val="0"/>
          <w:color w:val="auto"/>
          <w:highlight w:val="none"/>
          <w:lang w:bidi="ar"/>
        </w:rPr>
        <w:t>2</w:t>
      </w:r>
      <w:r>
        <w:rPr>
          <w:color w:val="auto"/>
          <w:highlight w:val="none"/>
          <w:lang w:bidi="ar"/>
        </w:rPr>
        <w:t>户。</w:t>
      </w:r>
    </w:p>
    <w:p>
      <w:pPr>
        <w:pStyle w:val="19"/>
        <w:pageBreakBefore w:val="0"/>
        <w:wordWrap/>
        <w:overflowPunct/>
        <w:autoSpaceDE/>
        <w:autoSpaceDN/>
        <w:bidi w:val="0"/>
        <w:spacing w:line="530" w:lineRule="exact"/>
        <w:ind w:firstLine="643"/>
        <w:rPr>
          <w:rFonts w:hint="eastAsia" w:eastAsia="仿宋_GB2312"/>
          <w:color w:val="auto"/>
          <w:highlight w:val="none"/>
          <w:lang w:val="en-US" w:eastAsia="zh-CN"/>
        </w:rPr>
      </w:pPr>
      <w:r>
        <w:rPr>
          <w:rFonts w:hint="eastAsia"/>
          <w:b/>
          <w:bCs/>
          <w:color w:val="auto"/>
          <w:highlight w:val="none"/>
          <w:lang w:bidi="ar"/>
        </w:rPr>
        <w:t>城市更新提质增效，</w:t>
      </w:r>
      <w:r>
        <w:rPr>
          <w:b/>
          <w:bCs/>
          <w:color w:val="auto"/>
          <w:highlight w:val="none"/>
          <w:lang w:bidi="ar"/>
        </w:rPr>
        <w:t>城市建设</w:t>
      </w:r>
      <w:r>
        <w:rPr>
          <w:rFonts w:hint="eastAsia"/>
          <w:b/>
          <w:bCs/>
          <w:color w:val="auto"/>
          <w:highlight w:val="none"/>
          <w:lang w:val="en-US" w:eastAsia="zh-CN" w:bidi="ar"/>
        </w:rPr>
        <w:t>卓有成效</w:t>
      </w:r>
      <w:r>
        <w:rPr>
          <w:b/>
          <w:bCs/>
          <w:color w:val="auto"/>
          <w:highlight w:val="none"/>
          <w:lang w:bidi="ar"/>
        </w:rPr>
        <w:t>。</w:t>
      </w:r>
      <w:r>
        <w:rPr>
          <w:color w:val="auto"/>
          <w:highlight w:val="none"/>
          <w:lang w:bidi="ar"/>
        </w:rPr>
        <w:t>老旧小区改造，</w:t>
      </w:r>
      <w:r>
        <w:rPr>
          <w:rFonts w:hint="eastAsia" w:ascii="Times New Roman" w:hAnsi="Times New Roman"/>
          <w:b w:val="0"/>
          <w:i w:val="0"/>
          <w:color w:val="auto"/>
          <w:highlight w:val="none"/>
          <w:lang w:val="en-US" w:eastAsia="zh-CN" w:bidi="ar"/>
        </w:rPr>
        <w:t>2021</w:t>
      </w:r>
      <w:r>
        <w:rPr>
          <w:rFonts w:hint="eastAsia"/>
          <w:b w:val="0"/>
          <w:i w:val="0"/>
          <w:color w:val="auto"/>
          <w:highlight w:val="none"/>
          <w:lang w:val="en-US" w:eastAsia="zh-CN" w:bidi="ar"/>
        </w:rPr>
        <w:t>—</w:t>
      </w:r>
      <w:r>
        <w:rPr>
          <w:rFonts w:hint="eastAsia" w:ascii="Times New Roman" w:hAnsi="Times New Roman"/>
          <w:b w:val="0"/>
          <w:i w:val="0"/>
          <w:color w:val="auto"/>
          <w:highlight w:val="none"/>
          <w:lang w:val="en-US" w:eastAsia="zh-CN" w:bidi="ar"/>
        </w:rPr>
        <w:t>2025</w:t>
      </w:r>
      <w:r>
        <w:rPr>
          <w:rFonts w:hint="eastAsia"/>
          <w:color w:val="auto"/>
          <w:highlight w:val="none"/>
          <w:lang w:val="en-US" w:eastAsia="zh-CN" w:bidi="ar"/>
        </w:rPr>
        <w:t>年</w:t>
      </w:r>
      <w:r>
        <w:rPr>
          <w:color w:val="auto"/>
          <w:highlight w:val="none"/>
          <w:lang w:bidi="ar"/>
        </w:rPr>
        <w:t>累计完成老旧小区改造</w:t>
      </w:r>
      <w:r>
        <w:rPr>
          <w:rFonts w:ascii="Times New Roman" w:hAnsi="Times New Roman"/>
          <w:b w:val="0"/>
          <w:i w:val="0"/>
          <w:color w:val="auto"/>
          <w:highlight w:val="none"/>
          <w:lang w:bidi="ar"/>
        </w:rPr>
        <w:t>105</w:t>
      </w:r>
      <w:r>
        <w:rPr>
          <w:color w:val="auto"/>
          <w:highlight w:val="none"/>
          <w:lang w:bidi="ar"/>
        </w:rPr>
        <w:t>.</w:t>
      </w:r>
      <w:r>
        <w:rPr>
          <w:rFonts w:ascii="Times New Roman" w:hAnsi="Times New Roman"/>
          <w:b w:val="0"/>
          <w:i w:val="0"/>
          <w:color w:val="auto"/>
          <w:highlight w:val="none"/>
          <w:lang w:bidi="ar"/>
        </w:rPr>
        <w:t>5</w:t>
      </w:r>
      <w:r>
        <w:rPr>
          <w:color w:val="auto"/>
          <w:highlight w:val="none"/>
          <w:lang w:bidi="ar"/>
        </w:rPr>
        <w:t>万平方米，惠及居民超</w:t>
      </w:r>
      <w:r>
        <w:rPr>
          <w:rFonts w:ascii="Times New Roman" w:hAnsi="Times New Roman"/>
          <w:b w:val="0"/>
          <w:i w:val="0"/>
          <w:color w:val="auto"/>
          <w:highlight w:val="none"/>
          <w:lang w:bidi="ar"/>
        </w:rPr>
        <w:t>1</w:t>
      </w:r>
      <w:r>
        <w:rPr>
          <w:color w:val="auto"/>
          <w:highlight w:val="none"/>
          <w:lang w:bidi="ar"/>
        </w:rPr>
        <w:t>.</w:t>
      </w:r>
      <w:r>
        <w:rPr>
          <w:rFonts w:ascii="Times New Roman" w:hAnsi="Times New Roman"/>
          <w:b w:val="0"/>
          <w:i w:val="0"/>
          <w:color w:val="auto"/>
          <w:highlight w:val="none"/>
          <w:lang w:bidi="ar"/>
        </w:rPr>
        <w:t>1</w:t>
      </w:r>
      <w:r>
        <w:rPr>
          <w:color w:val="auto"/>
          <w:highlight w:val="none"/>
          <w:lang w:bidi="ar"/>
        </w:rPr>
        <w:t>万户，屋面防水、道路修缮、管网更新等基础设施</w:t>
      </w:r>
      <w:r>
        <w:rPr>
          <w:rFonts w:hint="eastAsia"/>
          <w:color w:val="auto"/>
          <w:highlight w:val="none"/>
          <w:lang w:val="en-US" w:eastAsia="zh-CN" w:bidi="ar"/>
        </w:rPr>
        <w:t>全面</w:t>
      </w:r>
      <w:r>
        <w:rPr>
          <w:color w:val="auto"/>
          <w:highlight w:val="none"/>
          <w:lang w:bidi="ar"/>
        </w:rPr>
        <w:t>升级，</w:t>
      </w:r>
      <w:r>
        <w:rPr>
          <w:rFonts w:hint="eastAsia"/>
          <w:color w:val="auto"/>
          <w:highlight w:val="none"/>
          <w:lang w:val="en-US" w:eastAsia="zh-CN" w:bidi="ar"/>
        </w:rPr>
        <w:t>有效</w:t>
      </w:r>
      <w:r>
        <w:rPr>
          <w:color w:val="auto"/>
          <w:highlight w:val="none"/>
          <w:lang w:bidi="ar"/>
        </w:rPr>
        <w:t>解决渗漏、积水、管道老化</w:t>
      </w:r>
      <w:r>
        <w:rPr>
          <w:rFonts w:hint="eastAsia"/>
          <w:color w:val="auto"/>
          <w:highlight w:val="none"/>
          <w:lang w:val="en-US" w:eastAsia="zh-CN" w:bidi="ar"/>
        </w:rPr>
        <w:t>等</w:t>
      </w:r>
      <w:r>
        <w:rPr>
          <w:color w:val="auto"/>
          <w:highlight w:val="none"/>
          <w:lang w:bidi="ar"/>
        </w:rPr>
        <w:t>问题。适老化与安全升级，启动老旧住宅电梯更新项目，更换春城、正阳、青年、普阳</w:t>
      </w:r>
      <w:r>
        <w:rPr>
          <w:rFonts w:hint="eastAsia"/>
          <w:color w:val="auto"/>
          <w:highlight w:val="none"/>
          <w:lang w:val="en-US" w:eastAsia="zh-CN" w:bidi="ar"/>
        </w:rPr>
        <w:t>4</w:t>
      </w:r>
      <w:r>
        <w:rPr>
          <w:color w:val="auto"/>
          <w:highlight w:val="none"/>
          <w:lang w:bidi="ar"/>
        </w:rPr>
        <w:t>个街道的</w:t>
      </w:r>
      <w:r>
        <w:rPr>
          <w:rFonts w:ascii="Times New Roman" w:hAnsi="Times New Roman"/>
          <w:b w:val="0"/>
          <w:i w:val="0"/>
          <w:color w:val="auto"/>
          <w:highlight w:val="none"/>
          <w:lang w:bidi="ar"/>
        </w:rPr>
        <w:t>157</w:t>
      </w:r>
      <w:r>
        <w:rPr>
          <w:color w:val="auto"/>
          <w:highlight w:val="none"/>
          <w:lang w:bidi="ar"/>
        </w:rPr>
        <w:t>部电梯，提升高层居民尤其是老年群体的出行便利性。“口袋公园”织补绿色网络，新建</w:t>
      </w:r>
      <w:r>
        <w:rPr>
          <w:rFonts w:ascii="Times New Roman" w:hAnsi="Times New Roman"/>
          <w:b w:val="0"/>
          <w:i w:val="0"/>
          <w:color w:val="auto"/>
          <w:highlight w:val="none"/>
          <w:lang w:bidi="ar"/>
        </w:rPr>
        <w:t>39</w:t>
      </w:r>
      <w:r>
        <w:rPr>
          <w:color w:val="auto"/>
          <w:highlight w:val="none"/>
          <w:lang w:bidi="ar"/>
        </w:rPr>
        <w:t>座口袋公园，利用废弃地、边角地打造居民“推门见绿”的休闲空间。全区累计新增绿化面积</w:t>
      </w:r>
      <w:r>
        <w:rPr>
          <w:rFonts w:ascii="Times New Roman" w:hAnsi="Times New Roman"/>
          <w:b w:val="0"/>
          <w:i w:val="0"/>
          <w:color w:val="auto"/>
          <w:highlight w:val="none"/>
          <w:lang w:bidi="ar"/>
        </w:rPr>
        <w:t>108</w:t>
      </w:r>
      <w:r>
        <w:rPr>
          <w:color w:val="auto"/>
          <w:highlight w:val="none"/>
          <w:lang w:bidi="ar"/>
        </w:rPr>
        <w:t>.</w:t>
      </w:r>
      <w:r>
        <w:rPr>
          <w:rFonts w:ascii="Times New Roman" w:hAnsi="Times New Roman"/>
          <w:b w:val="0"/>
          <w:i w:val="0"/>
          <w:color w:val="auto"/>
          <w:highlight w:val="none"/>
          <w:lang w:bidi="ar"/>
        </w:rPr>
        <w:t>7</w:t>
      </w:r>
      <w:r>
        <w:rPr>
          <w:color w:val="auto"/>
          <w:highlight w:val="none"/>
          <w:lang w:bidi="ar"/>
        </w:rPr>
        <w:t>万平方米，建成区绿化率达</w:t>
      </w:r>
      <w:r>
        <w:rPr>
          <w:rFonts w:ascii="Times New Roman" w:hAnsi="Times New Roman"/>
          <w:b w:val="0"/>
          <w:i w:val="0"/>
          <w:color w:val="auto"/>
          <w:highlight w:val="none"/>
          <w:lang w:bidi="ar"/>
        </w:rPr>
        <w:t>30</w:t>
      </w:r>
      <w:r>
        <w:rPr>
          <w:color w:val="auto"/>
          <w:highlight w:val="none"/>
          <w:lang w:bidi="ar"/>
        </w:rPr>
        <w:t>.</w:t>
      </w:r>
      <w:r>
        <w:rPr>
          <w:rFonts w:ascii="Times New Roman" w:hAnsi="Times New Roman"/>
          <w:b w:val="0"/>
          <w:i w:val="0"/>
          <w:color w:val="auto"/>
          <w:highlight w:val="none"/>
          <w:lang w:bidi="ar"/>
        </w:rPr>
        <w:t>3</w:t>
      </w:r>
      <w:r>
        <w:rPr>
          <w:color w:val="auto"/>
          <w:highlight w:val="none"/>
          <w:lang w:bidi="ar"/>
        </w:rPr>
        <w:t>%。打造特色文化地标，万福关东文化街、新城吾悦广场时光引擎艺术街区成为绿园特色。“十四五”期间累计改造老旧小区管网</w:t>
      </w:r>
      <w:r>
        <w:rPr>
          <w:rFonts w:ascii="Times New Roman" w:hAnsi="Times New Roman"/>
          <w:b w:val="0"/>
          <w:i w:val="0"/>
          <w:color w:val="auto"/>
          <w:highlight w:val="none"/>
          <w:lang w:bidi="ar"/>
        </w:rPr>
        <w:t>12</w:t>
      </w:r>
      <w:r>
        <w:rPr>
          <w:color w:val="auto"/>
          <w:highlight w:val="none"/>
          <w:lang w:bidi="ar"/>
        </w:rPr>
        <w:t>万</w:t>
      </w:r>
      <w:r>
        <w:rPr>
          <w:rFonts w:hint="eastAsia"/>
          <w:color w:val="auto"/>
          <w:highlight w:val="none"/>
          <w:lang w:val="en-US" w:eastAsia="zh-CN" w:bidi="ar"/>
        </w:rPr>
        <w:t>延</w:t>
      </w:r>
      <w:r>
        <w:rPr>
          <w:color w:val="auto"/>
          <w:highlight w:val="none"/>
          <w:lang w:bidi="ar"/>
        </w:rPr>
        <w:t>米，总投资</w:t>
      </w:r>
      <w:r>
        <w:rPr>
          <w:rFonts w:ascii="Times New Roman" w:hAnsi="Times New Roman"/>
          <w:b w:val="0"/>
          <w:i w:val="0"/>
          <w:color w:val="auto"/>
          <w:highlight w:val="none"/>
          <w:lang w:bidi="ar"/>
        </w:rPr>
        <w:t>7200</w:t>
      </w:r>
      <w:r>
        <w:rPr>
          <w:color w:val="auto"/>
          <w:highlight w:val="none"/>
          <w:lang w:bidi="ar"/>
        </w:rPr>
        <w:t>万元。构建“一小时经济圈”枢纽网络。高速与轨道交通</w:t>
      </w:r>
      <w:r>
        <w:rPr>
          <w:rFonts w:hint="eastAsia"/>
          <w:color w:val="auto"/>
          <w:highlight w:val="none"/>
          <w:lang w:val="en-US" w:eastAsia="zh-CN" w:bidi="ar"/>
        </w:rPr>
        <w:t>建设取得</w:t>
      </w:r>
      <w:r>
        <w:rPr>
          <w:color w:val="auto"/>
          <w:highlight w:val="none"/>
          <w:lang w:bidi="ar"/>
        </w:rPr>
        <w:t>突破性进展，长春至太平川高速公路（绿园段）</w:t>
      </w:r>
      <w:r>
        <w:rPr>
          <w:rFonts w:hint="eastAsia"/>
          <w:color w:val="auto"/>
          <w:highlight w:val="none"/>
          <w:lang w:val="en-US" w:eastAsia="zh-CN" w:bidi="ar"/>
        </w:rPr>
        <w:t>建成通车</w:t>
      </w:r>
      <w:r>
        <w:rPr>
          <w:color w:val="auto"/>
          <w:highlight w:val="none"/>
          <w:lang w:bidi="ar"/>
        </w:rPr>
        <w:t>，打通长春西部向松原方向的快速通道。</w:t>
      </w:r>
      <w:r>
        <w:rPr>
          <w:rFonts w:ascii="Times New Roman" w:hAnsi="Times New Roman"/>
          <w:b w:val="0"/>
          <w:i w:val="0"/>
          <w:color w:val="auto"/>
          <w:highlight w:val="none"/>
          <w:lang w:bidi="ar"/>
        </w:rPr>
        <w:t>190</w:t>
      </w:r>
      <w:r>
        <w:rPr>
          <w:color w:val="auto"/>
          <w:highlight w:val="none"/>
          <w:lang w:bidi="ar"/>
        </w:rPr>
        <w:t>条道路纳入城市精细化管理及维修改造工程，</w:t>
      </w:r>
      <w:r>
        <w:rPr>
          <w:rFonts w:ascii="Times New Roman" w:hAnsi="Times New Roman"/>
          <w:b w:val="0"/>
          <w:i w:val="0"/>
          <w:color w:val="auto"/>
          <w:highlight w:val="none"/>
          <w:lang w:bidi="ar"/>
        </w:rPr>
        <w:t>5</w:t>
      </w:r>
      <w:r>
        <w:rPr>
          <w:color w:val="auto"/>
          <w:highlight w:val="none"/>
          <w:lang w:bidi="ar"/>
        </w:rPr>
        <w:t>条“断头路、</w:t>
      </w:r>
      <w:r>
        <w:rPr>
          <w:rFonts w:hint="eastAsia"/>
          <w:color w:val="auto"/>
          <w:highlight w:val="none"/>
          <w:lang w:eastAsia="zh-CN" w:bidi="ar"/>
        </w:rPr>
        <w:t>卡脖子路</w:t>
      </w:r>
      <w:r>
        <w:rPr>
          <w:color w:val="auto"/>
          <w:highlight w:val="none"/>
          <w:lang w:bidi="ar"/>
        </w:rPr>
        <w:t>”</w:t>
      </w:r>
      <w:r>
        <w:rPr>
          <w:rFonts w:hint="eastAsia"/>
          <w:color w:val="auto"/>
          <w:highlight w:val="none"/>
          <w:lang w:val="en-US" w:eastAsia="zh-CN" w:bidi="ar"/>
        </w:rPr>
        <w:t>全面贯通实现通车</w:t>
      </w:r>
      <w:r>
        <w:rPr>
          <w:color w:val="auto"/>
          <w:highlight w:val="none"/>
          <w:lang w:bidi="ar"/>
        </w:rPr>
        <w:t>，盘活小区闲置泊位</w:t>
      </w:r>
      <w:r>
        <w:rPr>
          <w:rFonts w:ascii="Times New Roman" w:hAnsi="Times New Roman"/>
          <w:b w:val="0"/>
          <w:i w:val="0"/>
          <w:color w:val="auto"/>
          <w:highlight w:val="none"/>
          <w:lang w:bidi="ar"/>
        </w:rPr>
        <w:t>1</w:t>
      </w:r>
      <w:r>
        <w:rPr>
          <w:rFonts w:hint="eastAsia" w:ascii="Times New Roman" w:hAnsi="Times New Roman"/>
          <w:b w:val="0"/>
          <w:i w:val="0"/>
          <w:color w:val="auto"/>
          <w:highlight w:val="none"/>
          <w:lang w:val="en-US" w:eastAsia="zh-CN" w:bidi="ar"/>
        </w:rPr>
        <w:t>.3万</w:t>
      </w:r>
      <w:r>
        <w:rPr>
          <w:color w:val="auto"/>
          <w:highlight w:val="none"/>
          <w:lang w:bidi="ar"/>
        </w:rPr>
        <w:t>个，建设电动自行车集中停放场所和充电设施</w:t>
      </w:r>
      <w:r>
        <w:rPr>
          <w:rFonts w:ascii="Times New Roman" w:hAnsi="Times New Roman"/>
          <w:b w:val="0"/>
          <w:i w:val="0"/>
          <w:color w:val="auto"/>
          <w:highlight w:val="none"/>
          <w:lang w:bidi="ar"/>
        </w:rPr>
        <w:t>2578</w:t>
      </w:r>
      <w:r>
        <w:rPr>
          <w:color w:val="auto"/>
          <w:highlight w:val="none"/>
          <w:lang w:bidi="ar"/>
        </w:rPr>
        <w:t>个。</w:t>
      </w:r>
      <w:r>
        <w:rPr>
          <w:rFonts w:hint="eastAsia"/>
          <w:color w:val="auto"/>
          <w:highlight w:val="none"/>
          <w:lang w:bidi="ar"/>
        </w:rPr>
        <w:t>建成运营充电站</w:t>
      </w:r>
      <w:r>
        <w:rPr>
          <w:rFonts w:hint="eastAsia" w:ascii="Times New Roman" w:hAnsi="Times New Roman"/>
          <w:b w:val="0"/>
          <w:i w:val="0"/>
          <w:color w:val="auto"/>
          <w:highlight w:val="none"/>
          <w:lang w:bidi="ar"/>
        </w:rPr>
        <w:t>59</w:t>
      </w:r>
      <w:r>
        <w:rPr>
          <w:rFonts w:hint="eastAsia"/>
          <w:color w:val="auto"/>
          <w:highlight w:val="none"/>
          <w:lang w:bidi="ar"/>
        </w:rPr>
        <w:t>家，充电枪</w:t>
      </w:r>
      <w:r>
        <w:rPr>
          <w:rFonts w:hint="eastAsia" w:ascii="Times New Roman" w:hAnsi="Times New Roman"/>
          <w:b w:val="0"/>
          <w:i w:val="0"/>
          <w:color w:val="auto"/>
          <w:highlight w:val="none"/>
          <w:lang w:bidi="ar"/>
        </w:rPr>
        <w:t>1351</w:t>
      </w:r>
      <w:r>
        <w:rPr>
          <w:rFonts w:hint="eastAsia"/>
          <w:color w:val="auto"/>
          <w:highlight w:val="none"/>
          <w:lang w:bidi="ar"/>
        </w:rPr>
        <w:t>把，充电桩</w:t>
      </w:r>
      <w:r>
        <w:rPr>
          <w:rFonts w:hint="eastAsia" w:ascii="Times New Roman" w:hAnsi="Times New Roman"/>
          <w:b w:val="0"/>
          <w:i w:val="0"/>
          <w:color w:val="auto"/>
          <w:highlight w:val="none"/>
          <w:lang w:bidi="ar"/>
        </w:rPr>
        <w:t>761</w:t>
      </w:r>
      <w:r>
        <w:rPr>
          <w:rFonts w:hint="eastAsia"/>
          <w:color w:val="auto"/>
          <w:highlight w:val="none"/>
          <w:lang w:bidi="ar"/>
        </w:rPr>
        <w:t>根</w:t>
      </w:r>
      <w:r>
        <w:rPr>
          <w:rFonts w:hint="eastAsia"/>
          <w:color w:val="auto"/>
          <w:highlight w:val="none"/>
          <w:lang w:eastAsia="zh-CN" w:bidi="ar"/>
        </w:rPr>
        <w:t>，</w:t>
      </w:r>
      <w:r>
        <w:rPr>
          <w:rFonts w:hint="eastAsia"/>
          <w:color w:val="auto"/>
          <w:highlight w:val="none"/>
          <w:lang w:bidi="ar"/>
        </w:rPr>
        <w:t>备案建设分布式光伏发电项目</w:t>
      </w:r>
      <w:r>
        <w:rPr>
          <w:rFonts w:hint="eastAsia" w:ascii="Times New Roman" w:hAnsi="Times New Roman"/>
          <w:b w:val="0"/>
          <w:i w:val="0"/>
          <w:color w:val="auto"/>
          <w:highlight w:val="none"/>
          <w:lang w:bidi="ar"/>
        </w:rPr>
        <w:t>13</w:t>
      </w:r>
      <w:r>
        <w:rPr>
          <w:rFonts w:hint="eastAsia"/>
          <w:color w:val="auto"/>
          <w:highlight w:val="none"/>
          <w:lang w:bidi="ar"/>
        </w:rPr>
        <w:t>个，总建设装机容量</w:t>
      </w:r>
      <w:r>
        <w:rPr>
          <w:rFonts w:hint="eastAsia" w:ascii="Times New Roman" w:hAnsi="Times New Roman"/>
          <w:b w:val="0"/>
          <w:i w:val="0"/>
          <w:color w:val="auto"/>
          <w:highlight w:val="none"/>
          <w:lang w:bidi="ar"/>
        </w:rPr>
        <w:t>31</w:t>
      </w:r>
      <w:r>
        <w:rPr>
          <w:rFonts w:hint="eastAsia"/>
          <w:color w:val="auto"/>
          <w:highlight w:val="none"/>
          <w:lang w:bidi="ar"/>
        </w:rPr>
        <w:t>.</w:t>
      </w:r>
      <w:r>
        <w:rPr>
          <w:rFonts w:hint="eastAsia" w:ascii="Times New Roman" w:hAnsi="Times New Roman"/>
          <w:b w:val="0"/>
          <w:i w:val="0"/>
          <w:color w:val="auto"/>
          <w:highlight w:val="none"/>
          <w:lang w:bidi="ar"/>
        </w:rPr>
        <w:t>5</w:t>
      </w:r>
      <w:r>
        <w:rPr>
          <w:rFonts w:hint="eastAsia"/>
          <w:color w:val="auto"/>
          <w:highlight w:val="none"/>
          <w:lang w:bidi="ar"/>
        </w:rPr>
        <w:t>兆瓦。</w:t>
      </w:r>
    </w:p>
    <w:p>
      <w:pPr>
        <w:pStyle w:val="19"/>
        <w:pageBreakBefore w:val="0"/>
        <w:wordWrap/>
        <w:overflowPunct/>
        <w:autoSpaceDE/>
        <w:autoSpaceDN/>
        <w:bidi w:val="0"/>
        <w:spacing w:line="530" w:lineRule="exact"/>
        <w:ind w:firstLine="643"/>
        <w:rPr>
          <w:rFonts w:hint="eastAsia" w:eastAsia="仿宋_GB2312"/>
          <w:color w:val="auto"/>
          <w:highlight w:val="none"/>
          <w:lang w:val="en-US" w:eastAsia="zh-CN" w:bidi="ar"/>
        </w:rPr>
      </w:pPr>
      <w:r>
        <w:rPr>
          <w:b/>
          <w:bCs/>
          <w:color w:val="auto"/>
          <w:highlight w:val="none"/>
          <w:lang w:bidi="ar"/>
        </w:rPr>
        <w:t>民生福祉持续改善，社会事业</w:t>
      </w:r>
      <w:r>
        <w:rPr>
          <w:rFonts w:hint="eastAsia"/>
          <w:b/>
          <w:bCs/>
          <w:color w:val="auto"/>
          <w:highlight w:val="none"/>
          <w:lang w:eastAsia="zh-CN" w:bidi="ar"/>
        </w:rPr>
        <w:t>有效</w:t>
      </w:r>
      <w:r>
        <w:rPr>
          <w:b/>
          <w:bCs/>
          <w:color w:val="auto"/>
          <w:highlight w:val="none"/>
          <w:lang w:bidi="ar"/>
        </w:rPr>
        <w:t>提升。</w:t>
      </w:r>
      <w:r>
        <w:rPr>
          <w:rFonts w:hint="eastAsia"/>
          <w:b w:val="0"/>
          <w:bCs w:val="0"/>
          <w:color w:val="auto"/>
          <w:highlight w:val="none"/>
          <w:lang w:bidi="ar"/>
        </w:rPr>
        <w:t>接续实施“幸福绿园行动计划”，深入开展“走遍长春·情暖春城”行动，公共服务供给持续优化。</w:t>
      </w:r>
      <w:r>
        <w:rPr>
          <w:rFonts w:hint="eastAsia"/>
          <w:color w:val="auto"/>
          <w:highlight w:val="none"/>
          <w:lang w:bidi="ar"/>
        </w:rPr>
        <w:t>成功引入东北师范大学、长春市十一高中等优质教育品牌。经教育部督导评估认定，成功创建国家级学前教育普及普惠、义务教育优质均衡发展区，一举斩获两项“国字号”荣誉。</w:t>
      </w:r>
      <w:r>
        <w:rPr>
          <w:color w:val="auto"/>
          <w:highlight w:val="none"/>
          <w:lang w:bidi="ar"/>
        </w:rPr>
        <w:t>启动实施皓月</w:t>
      </w:r>
      <w:r>
        <w:rPr>
          <w:rFonts w:hint="eastAsia"/>
          <w:color w:val="auto"/>
          <w:highlight w:val="none"/>
          <w:lang w:val="en-US" w:eastAsia="zh-CN" w:bidi="ar"/>
        </w:rPr>
        <w:t>实</w:t>
      </w:r>
      <w:r>
        <w:rPr>
          <w:color w:val="auto"/>
          <w:highlight w:val="none"/>
          <w:lang w:bidi="ar"/>
        </w:rPr>
        <w:t>验学校、博元学校等</w:t>
      </w:r>
      <w:r>
        <w:rPr>
          <w:rFonts w:ascii="Times New Roman" w:hAnsi="Times New Roman"/>
          <w:b w:val="0"/>
          <w:i w:val="0"/>
          <w:color w:val="auto"/>
          <w:highlight w:val="none"/>
          <w:lang w:bidi="ar"/>
        </w:rPr>
        <w:t>4</w:t>
      </w:r>
      <w:r>
        <w:rPr>
          <w:color w:val="auto"/>
          <w:highlight w:val="none"/>
          <w:lang w:bidi="ar"/>
        </w:rPr>
        <w:t>个新建项目，</w:t>
      </w:r>
      <w:r>
        <w:rPr>
          <w:rFonts w:ascii="Times New Roman" w:hAnsi="Times New Roman"/>
          <w:b w:val="0"/>
          <w:i w:val="0"/>
          <w:color w:val="auto"/>
          <w:highlight w:val="none"/>
          <w:lang w:bidi="ar"/>
        </w:rPr>
        <w:t>87</w:t>
      </w:r>
      <w:r>
        <w:rPr>
          <w:color w:val="auto"/>
          <w:highlight w:val="none"/>
          <w:lang w:bidi="ar"/>
        </w:rPr>
        <w:t>中南阳校区建成使用，增加学位</w:t>
      </w:r>
      <w:r>
        <w:rPr>
          <w:rFonts w:ascii="Times New Roman" w:hAnsi="Times New Roman"/>
          <w:b w:val="0"/>
          <w:i w:val="0"/>
          <w:color w:val="auto"/>
          <w:highlight w:val="none"/>
          <w:lang w:bidi="ar"/>
        </w:rPr>
        <w:t>3180</w:t>
      </w:r>
      <w:r>
        <w:rPr>
          <w:color w:val="auto"/>
          <w:highlight w:val="none"/>
          <w:lang w:bidi="ar"/>
        </w:rPr>
        <w:t>个，新增师资力量</w:t>
      </w:r>
      <w:r>
        <w:rPr>
          <w:rFonts w:ascii="Times New Roman" w:hAnsi="Times New Roman"/>
          <w:b w:val="0"/>
          <w:i w:val="0"/>
          <w:color w:val="auto"/>
          <w:highlight w:val="none"/>
          <w:lang w:bidi="ar"/>
        </w:rPr>
        <w:t>533</w:t>
      </w:r>
      <w:r>
        <w:rPr>
          <w:color w:val="auto"/>
          <w:highlight w:val="none"/>
          <w:lang w:bidi="ar"/>
        </w:rPr>
        <w:t>人。完成香港城等</w:t>
      </w:r>
      <w:r>
        <w:rPr>
          <w:rFonts w:ascii="Times New Roman" w:hAnsi="Times New Roman"/>
          <w:b w:val="0"/>
          <w:i w:val="0"/>
          <w:color w:val="auto"/>
          <w:highlight w:val="none"/>
          <w:lang w:bidi="ar"/>
        </w:rPr>
        <w:t>15</w:t>
      </w:r>
      <w:r>
        <w:rPr>
          <w:color w:val="auto"/>
          <w:highlight w:val="none"/>
          <w:lang w:bidi="ar"/>
        </w:rPr>
        <w:t>所幼儿园移交，增加学前教育学位</w:t>
      </w:r>
      <w:r>
        <w:rPr>
          <w:rFonts w:ascii="Times New Roman" w:hAnsi="Times New Roman"/>
          <w:b w:val="0"/>
          <w:i w:val="0"/>
          <w:color w:val="auto"/>
          <w:highlight w:val="none"/>
          <w:lang w:bidi="ar"/>
        </w:rPr>
        <w:t>2940</w:t>
      </w:r>
      <w:r>
        <w:rPr>
          <w:color w:val="auto"/>
          <w:highlight w:val="none"/>
          <w:lang w:bidi="ar"/>
        </w:rPr>
        <w:t>个。学前教育“</w:t>
      </w:r>
      <w:r>
        <w:rPr>
          <w:rFonts w:ascii="Times New Roman" w:hAnsi="Times New Roman"/>
          <w:b w:val="0"/>
          <w:i w:val="0"/>
          <w:color w:val="auto"/>
          <w:highlight w:val="none"/>
          <w:lang w:bidi="ar"/>
        </w:rPr>
        <w:t>985</w:t>
      </w:r>
      <w:r>
        <w:rPr>
          <w:color w:val="auto"/>
          <w:highlight w:val="none"/>
          <w:lang w:bidi="ar"/>
        </w:rPr>
        <w:t>”指标顺利通过省市验收，教育综合实力跻身全市前列。</w:t>
      </w:r>
      <w:r>
        <w:rPr>
          <w:bCs/>
          <w:color w:val="auto"/>
          <w:highlight w:val="none"/>
          <w:lang w:bidi="ar"/>
        </w:rPr>
        <w:t>全区新</w:t>
      </w:r>
      <w:r>
        <w:rPr>
          <w:rFonts w:hint="eastAsia"/>
          <w:bCs/>
          <w:color w:val="auto"/>
          <w:highlight w:val="none"/>
          <w:lang w:val="en-US" w:eastAsia="zh-CN" w:bidi="ar"/>
        </w:rPr>
        <w:t>增</w:t>
      </w:r>
      <w:r>
        <w:rPr>
          <w:bCs/>
          <w:color w:val="auto"/>
          <w:highlight w:val="none"/>
          <w:lang w:bidi="ar"/>
        </w:rPr>
        <w:t>医院</w:t>
      </w:r>
      <w:r>
        <w:rPr>
          <w:rFonts w:ascii="Times New Roman" w:hAnsi="Times New Roman"/>
          <w:b w:val="0"/>
          <w:bCs/>
          <w:i w:val="0"/>
          <w:color w:val="auto"/>
          <w:highlight w:val="none"/>
          <w:lang w:bidi="ar"/>
        </w:rPr>
        <w:t>2</w:t>
      </w:r>
      <w:r>
        <w:rPr>
          <w:rFonts w:hint="eastAsia" w:ascii="Times New Roman" w:hAnsi="Times New Roman"/>
          <w:b w:val="0"/>
          <w:bCs/>
          <w:i w:val="0"/>
          <w:color w:val="auto"/>
          <w:highlight w:val="none"/>
          <w:lang w:val="en-US" w:eastAsia="zh-CN" w:bidi="ar"/>
        </w:rPr>
        <w:t>所</w:t>
      </w:r>
      <w:r>
        <w:rPr>
          <w:bCs/>
          <w:color w:val="auto"/>
          <w:highlight w:val="none"/>
          <w:lang w:bidi="ar"/>
        </w:rPr>
        <w:t>，新增社区卫生服务中心</w:t>
      </w:r>
      <w:r>
        <w:rPr>
          <w:rFonts w:ascii="Times New Roman" w:hAnsi="Times New Roman"/>
          <w:b w:val="0"/>
          <w:bCs/>
          <w:i w:val="0"/>
          <w:color w:val="auto"/>
          <w:highlight w:val="none"/>
          <w:lang w:bidi="ar"/>
        </w:rPr>
        <w:t>3</w:t>
      </w:r>
      <w:r>
        <w:rPr>
          <w:rFonts w:hint="eastAsia" w:ascii="Times New Roman" w:hAnsi="Times New Roman"/>
          <w:b w:val="0"/>
          <w:bCs/>
          <w:i w:val="0"/>
          <w:color w:val="auto"/>
          <w:highlight w:val="none"/>
          <w:lang w:val="en-US" w:eastAsia="zh-CN" w:bidi="ar"/>
        </w:rPr>
        <w:t>个</w:t>
      </w:r>
      <w:r>
        <w:rPr>
          <w:bCs/>
          <w:color w:val="auto"/>
          <w:highlight w:val="none"/>
          <w:lang w:bidi="ar"/>
        </w:rPr>
        <w:t>，新增床位</w:t>
      </w:r>
      <w:r>
        <w:rPr>
          <w:rFonts w:ascii="Times New Roman" w:hAnsi="Times New Roman"/>
          <w:b w:val="0"/>
          <w:bCs/>
          <w:i w:val="0"/>
          <w:color w:val="auto"/>
          <w:highlight w:val="none"/>
          <w:lang w:bidi="ar"/>
        </w:rPr>
        <w:t>120</w:t>
      </w:r>
      <w:r>
        <w:rPr>
          <w:bCs/>
          <w:color w:val="auto"/>
          <w:highlight w:val="none"/>
          <w:lang w:bidi="ar"/>
        </w:rPr>
        <w:t>张。“强医计划”扎实推进，全区卫生人员总量</w:t>
      </w:r>
      <w:r>
        <w:rPr>
          <w:rFonts w:hint="eastAsia"/>
          <w:bCs/>
          <w:color w:val="auto"/>
          <w:highlight w:val="none"/>
          <w:lang w:eastAsia="zh-CN" w:bidi="ar"/>
        </w:rPr>
        <w:t>增加</w:t>
      </w:r>
      <w:r>
        <w:rPr>
          <w:rFonts w:ascii="Times New Roman" w:hAnsi="Times New Roman"/>
          <w:b w:val="0"/>
          <w:bCs/>
          <w:i w:val="0"/>
          <w:color w:val="auto"/>
          <w:highlight w:val="none"/>
          <w:lang w:bidi="ar"/>
        </w:rPr>
        <w:t>1320</w:t>
      </w:r>
      <w:r>
        <w:rPr>
          <w:bCs/>
          <w:color w:val="auto"/>
          <w:highlight w:val="none"/>
          <w:lang w:bidi="ar"/>
        </w:rPr>
        <w:t>人，每千人口执业（助理）医师</w:t>
      </w:r>
      <w:r>
        <w:rPr>
          <w:rFonts w:hint="eastAsia"/>
          <w:bCs/>
          <w:color w:val="auto"/>
          <w:highlight w:val="none"/>
          <w:lang w:eastAsia="zh-CN" w:bidi="ar"/>
        </w:rPr>
        <w:t>数、</w:t>
      </w:r>
      <w:r>
        <w:rPr>
          <w:rFonts w:hint="eastAsia"/>
          <w:bCs/>
          <w:color w:val="auto"/>
          <w:highlight w:val="none"/>
          <w:lang w:val="en-US" w:eastAsia="zh-CN" w:bidi="ar"/>
        </w:rPr>
        <w:t>注册护士</w:t>
      </w:r>
      <w:r>
        <w:rPr>
          <w:rFonts w:hint="eastAsia"/>
          <w:bCs/>
          <w:color w:val="auto"/>
          <w:highlight w:val="none"/>
          <w:lang w:eastAsia="zh-CN" w:bidi="ar"/>
        </w:rPr>
        <w:t>数</w:t>
      </w:r>
      <w:r>
        <w:rPr>
          <w:rFonts w:hint="eastAsia"/>
          <w:bCs/>
          <w:color w:val="auto"/>
          <w:highlight w:val="none"/>
          <w:lang w:val="en-US" w:eastAsia="zh-CN" w:bidi="ar"/>
        </w:rPr>
        <w:t>均</w:t>
      </w:r>
      <w:r>
        <w:rPr>
          <w:rFonts w:hint="eastAsia"/>
          <w:bCs/>
          <w:color w:val="auto"/>
          <w:highlight w:val="none"/>
          <w:lang w:eastAsia="zh-CN" w:bidi="ar"/>
        </w:rPr>
        <w:t>提高</w:t>
      </w:r>
      <w:r>
        <w:rPr>
          <w:bCs/>
          <w:color w:val="auto"/>
          <w:highlight w:val="none"/>
          <w:lang w:bidi="ar"/>
        </w:rPr>
        <w:t>到</w:t>
      </w:r>
      <w:r>
        <w:rPr>
          <w:rFonts w:ascii="Times New Roman" w:hAnsi="Times New Roman"/>
          <w:b w:val="0"/>
          <w:bCs/>
          <w:i w:val="0"/>
          <w:color w:val="auto"/>
          <w:highlight w:val="none"/>
          <w:lang w:bidi="ar"/>
        </w:rPr>
        <w:t>3</w:t>
      </w:r>
      <w:r>
        <w:rPr>
          <w:bCs/>
          <w:color w:val="auto"/>
          <w:highlight w:val="none"/>
          <w:lang w:bidi="ar"/>
        </w:rPr>
        <w:t>.</w:t>
      </w:r>
      <w:r>
        <w:rPr>
          <w:rFonts w:hint="eastAsia"/>
          <w:bCs/>
          <w:color w:val="auto"/>
          <w:highlight w:val="none"/>
          <w:lang w:val="en-US" w:eastAsia="zh-CN" w:bidi="ar"/>
        </w:rPr>
        <w:t>7</w:t>
      </w:r>
      <w:r>
        <w:rPr>
          <w:bCs/>
          <w:color w:val="auto"/>
          <w:highlight w:val="none"/>
          <w:lang w:bidi="ar"/>
        </w:rPr>
        <w:t>人，每万人口全科医生</w:t>
      </w:r>
      <w:r>
        <w:rPr>
          <w:rFonts w:hint="eastAsia"/>
          <w:bCs/>
          <w:color w:val="auto"/>
          <w:highlight w:val="none"/>
          <w:lang w:eastAsia="zh-CN" w:bidi="ar"/>
        </w:rPr>
        <w:t>数提高</w:t>
      </w:r>
      <w:r>
        <w:rPr>
          <w:bCs/>
          <w:color w:val="auto"/>
          <w:highlight w:val="none"/>
          <w:lang w:bidi="ar"/>
        </w:rPr>
        <w:t>到</w:t>
      </w:r>
      <w:r>
        <w:rPr>
          <w:rFonts w:hint="eastAsia" w:ascii="Times New Roman" w:hAnsi="Times New Roman"/>
          <w:b w:val="0"/>
          <w:bCs/>
          <w:i w:val="0"/>
          <w:color w:val="auto"/>
          <w:highlight w:val="none"/>
          <w:lang w:val="en-US" w:eastAsia="zh-CN" w:bidi="ar"/>
        </w:rPr>
        <w:t>4.0</w:t>
      </w:r>
      <w:r>
        <w:rPr>
          <w:bCs/>
          <w:color w:val="auto"/>
          <w:highlight w:val="none"/>
          <w:lang w:bidi="ar"/>
        </w:rPr>
        <w:t>人。</w:t>
      </w:r>
      <w:r>
        <w:rPr>
          <w:color w:val="auto"/>
          <w:highlight w:val="none"/>
          <w:lang w:bidi="ar"/>
        </w:rPr>
        <w:t>建设以绿园区人民医院为总院的紧密型城市医疗集团，将合心镇卫生院变为集团的合心院区，实现区一级医疗资源下沉到乡镇一级。打造“</w:t>
      </w:r>
      <w:r>
        <w:rPr>
          <w:rFonts w:ascii="Times New Roman" w:hAnsi="Times New Roman"/>
          <w:b w:val="0"/>
          <w:i w:val="0"/>
          <w:color w:val="auto"/>
          <w:highlight w:val="none"/>
          <w:lang w:bidi="ar"/>
        </w:rPr>
        <w:t>15</w:t>
      </w:r>
      <w:r>
        <w:rPr>
          <w:color w:val="auto"/>
          <w:highlight w:val="none"/>
          <w:lang w:bidi="ar"/>
        </w:rPr>
        <w:t>分钟就业服务圈”，开发城镇就业岗位</w:t>
      </w:r>
      <w:r>
        <w:rPr>
          <w:rFonts w:ascii="Times New Roman" w:hAnsi="Times New Roman"/>
          <w:b w:val="0"/>
          <w:i w:val="0"/>
          <w:color w:val="auto"/>
          <w:highlight w:val="none"/>
          <w:lang w:bidi="ar"/>
        </w:rPr>
        <w:t>7</w:t>
      </w:r>
      <w:r>
        <w:rPr>
          <w:color w:val="auto"/>
          <w:highlight w:val="none"/>
          <w:lang w:bidi="ar"/>
        </w:rPr>
        <w:t>.</w:t>
      </w:r>
      <w:r>
        <w:rPr>
          <w:rFonts w:ascii="Times New Roman" w:hAnsi="Times New Roman"/>
          <w:b w:val="0"/>
          <w:i w:val="0"/>
          <w:color w:val="auto"/>
          <w:highlight w:val="none"/>
          <w:lang w:bidi="ar"/>
        </w:rPr>
        <w:t>7</w:t>
      </w:r>
      <w:r>
        <w:rPr>
          <w:color w:val="auto"/>
          <w:highlight w:val="none"/>
          <w:lang w:bidi="ar"/>
        </w:rPr>
        <w:t>万个，城镇新增就业</w:t>
      </w:r>
      <w:r>
        <w:rPr>
          <w:rFonts w:ascii="Times New Roman" w:hAnsi="Times New Roman"/>
          <w:b w:val="0"/>
          <w:i w:val="0"/>
          <w:color w:val="auto"/>
          <w:highlight w:val="none"/>
          <w:lang w:bidi="ar"/>
        </w:rPr>
        <w:t>4</w:t>
      </w:r>
      <w:r>
        <w:rPr>
          <w:color w:val="auto"/>
          <w:highlight w:val="none"/>
          <w:lang w:bidi="ar"/>
        </w:rPr>
        <w:t>.</w:t>
      </w:r>
      <w:r>
        <w:rPr>
          <w:rFonts w:hint="eastAsia"/>
          <w:color w:val="auto"/>
          <w:highlight w:val="none"/>
          <w:lang w:val="en-US" w:eastAsia="zh-CN" w:bidi="ar"/>
        </w:rPr>
        <w:t>3</w:t>
      </w:r>
      <w:r>
        <w:rPr>
          <w:color w:val="auto"/>
          <w:highlight w:val="none"/>
          <w:lang w:bidi="ar"/>
        </w:rPr>
        <w:t>万人</w:t>
      </w:r>
      <w:r>
        <w:rPr>
          <w:rFonts w:hint="eastAsia"/>
          <w:color w:val="auto"/>
          <w:highlight w:val="none"/>
          <w:lang w:val="en-US" w:eastAsia="zh-CN" w:bidi="ar"/>
        </w:rPr>
        <w:t>次</w:t>
      </w:r>
      <w:r>
        <w:rPr>
          <w:color w:val="auto"/>
          <w:highlight w:val="none"/>
          <w:lang w:bidi="ar"/>
        </w:rPr>
        <w:t>。</w:t>
      </w:r>
      <w:r>
        <w:rPr>
          <w:rFonts w:hint="eastAsia"/>
          <w:color w:val="auto"/>
          <w:highlight w:val="none"/>
          <w:lang w:eastAsia="zh-CN" w:bidi="ar"/>
        </w:rPr>
        <w:t>举办以</w:t>
      </w:r>
      <w:r>
        <w:rPr>
          <w:color w:val="auto"/>
          <w:highlight w:val="none"/>
          <w:lang w:bidi="ar"/>
        </w:rPr>
        <w:t>“春风行动”“就业援助月”等为主题</w:t>
      </w:r>
      <w:r>
        <w:rPr>
          <w:rFonts w:hint="eastAsia"/>
          <w:color w:val="auto"/>
          <w:highlight w:val="none"/>
          <w:lang w:eastAsia="zh-CN" w:bidi="ar"/>
        </w:rPr>
        <w:t>的</w:t>
      </w:r>
      <w:r>
        <w:rPr>
          <w:color w:val="auto"/>
          <w:highlight w:val="none"/>
          <w:lang w:bidi="ar"/>
        </w:rPr>
        <w:t>线下招聘会</w:t>
      </w:r>
      <w:r>
        <w:rPr>
          <w:rFonts w:ascii="Times New Roman" w:hAnsi="Times New Roman"/>
          <w:b w:val="0"/>
          <w:i w:val="0"/>
          <w:color w:val="auto"/>
          <w:highlight w:val="none"/>
          <w:lang w:bidi="ar"/>
        </w:rPr>
        <w:t>13</w:t>
      </w:r>
      <w:r>
        <w:rPr>
          <w:color w:val="auto"/>
          <w:highlight w:val="none"/>
          <w:lang w:bidi="ar"/>
        </w:rPr>
        <w:t>场，招聘人数达</w:t>
      </w:r>
      <w:r>
        <w:rPr>
          <w:rFonts w:ascii="Times New Roman" w:hAnsi="Times New Roman"/>
          <w:b w:val="0"/>
          <w:i w:val="0"/>
          <w:color w:val="auto"/>
          <w:highlight w:val="none"/>
          <w:lang w:bidi="ar"/>
        </w:rPr>
        <w:t>6000</w:t>
      </w:r>
      <w:r>
        <w:rPr>
          <w:color w:val="auto"/>
          <w:highlight w:val="none"/>
          <w:lang w:bidi="ar"/>
        </w:rPr>
        <w:t>余人。</w:t>
      </w:r>
      <w:r>
        <w:rPr>
          <w:rFonts w:hint="eastAsia"/>
          <w:color w:val="auto"/>
          <w:highlight w:val="none"/>
          <w:lang w:val="en-US" w:eastAsia="zh-CN" w:bidi="ar"/>
        </w:rPr>
        <w:t>全区</w:t>
      </w:r>
      <w:r>
        <w:rPr>
          <w:rFonts w:hint="eastAsia"/>
          <w:color w:val="auto"/>
          <w:highlight w:val="none"/>
        </w:rPr>
        <w:t>新增养老床位</w:t>
      </w:r>
      <w:r>
        <w:rPr>
          <w:rFonts w:hint="eastAsia" w:ascii="Times New Roman" w:hAnsi="Times New Roman"/>
          <w:b w:val="0"/>
          <w:i w:val="0"/>
          <w:color w:val="auto"/>
          <w:highlight w:val="none"/>
        </w:rPr>
        <w:t>453</w:t>
      </w:r>
      <w:r>
        <w:rPr>
          <w:rFonts w:hint="eastAsia"/>
          <w:color w:val="auto"/>
          <w:highlight w:val="none"/>
        </w:rPr>
        <w:t>张</w:t>
      </w:r>
      <w:r>
        <w:rPr>
          <w:rFonts w:hint="eastAsia"/>
          <w:color w:val="auto"/>
          <w:highlight w:val="none"/>
          <w:lang w:eastAsia="zh-CN"/>
        </w:rPr>
        <w:t>，</w:t>
      </w:r>
      <w:r>
        <w:rPr>
          <w:rFonts w:hint="eastAsia"/>
          <w:color w:val="auto"/>
          <w:highlight w:val="none"/>
        </w:rPr>
        <w:t>总床位数达到</w:t>
      </w:r>
      <w:r>
        <w:rPr>
          <w:rFonts w:hint="eastAsia" w:ascii="Times New Roman" w:hAnsi="Times New Roman"/>
          <w:b w:val="0"/>
          <w:i w:val="0"/>
          <w:color w:val="auto"/>
          <w:highlight w:val="none"/>
        </w:rPr>
        <w:t>3524</w:t>
      </w:r>
      <w:r>
        <w:rPr>
          <w:rFonts w:hint="eastAsia"/>
          <w:color w:val="auto"/>
          <w:highlight w:val="none"/>
        </w:rPr>
        <w:t>张，</w:t>
      </w:r>
      <w:r>
        <w:rPr>
          <w:rFonts w:hint="eastAsia" w:ascii="仿宋_GB2312" w:hAnsi="仿宋_GB2312" w:cs="仿宋_GB2312"/>
          <w:color w:val="auto"/>
          <w:highlight w:val="none"/>
        </w:rPr>
        <w:t>五年来</w:t>
      </w:r>
      <w:r>
        <w:rPr>
          <w:rFonts w:hint="eastAsia" w:cs="仿宋_GB2312"/>
          <w:color w:val="auto"/>
          <w:highlight w:val="none"/>
          <w:lang w:eastAsia="zh-CN"/>
        </w:rPr>
        <w:t>，开展</w:t>
      </w:r>
      <w:r>
        <w:rPr>
          <w:rFonts w:hint="eastAsia" w:cs="仿宋_GB2312"/>
          <w:color w:val="auto"/>
          <w:highlight w:val="none"/>
          <w:lang w:val="en-US" w:eastAsia="zh-CN"/>
        </w:rPr>
        <w:t>社区</w:t>
      </w:r>
      <w:r>
        <w:rPr>
          <w:rFonts w:hint="eastAsia" w:ascii="仿宋_GB2312" w:hAnsi="仿宋_GB2312" w:cs="仿宋_GB2312"/>
          <w:color w:val="auto"/>
          <w:highlight w:val="none"/>
        </w:rPr>
        <w:t>服务约</w:t>
      </w:r>
      <w:r>
        <w:rPr>
          <w:rFonts w:hint="eastAsia" w:ascii="Times New Roman" w:hAnsi="Times New Roman"/>
          <w:b w:val="0"/>
          <w:i w:val="0"/>
          <w:color w:val="auto"/>
          <w:highlight w:val="none"/>
        </w:rPr>
        <w:t>17</w:t>
      </w:r>
      <w:r>
        <w:rPr>
          <w:rFonts w:hint="eastAsia"/>
          <w:color w:val="auto"/>
          <w:highlight w:val="none"/>
        </w:rPr>
        <w:t>万人次，发放资金</w:t>
      </w:r>
      <w:r>
        <w:rPr>
          <w:rFonts w:hint="eastAsia" w:ascii="Times New Roman" w:hAnsi="Times New Roman"/>
          <w:b w:val="0"/>
          <w:i w:val="0"/>
          <w:color w:val="auto"/>
          <w:highlight w:val="none"/>
        </w:rPr>
        <w:t>700</w:t>
      </w:r>
      <w:r>
        <w:rPr>
          <w:rFonts w:hint="eastAsia"/>
          <w:color w:val="auto"/>
          <w:highlight w:val="none"/>
        </w:rPr>
        <w:t>余万元</w:t>
      </w:r>
      <w:r>
        <w:rPr>
          <w:rFonts w:hint="eastAsia"/>
          <w:color w:val="auto"/>
          <w:highlight w:val="none"/>
          <w:lang w:eastAsia="zh-CN"/>
        </w:rPr>
        <w:t>。</w:t>
      </w:r>
      <w:r>
        <w:rPr>
          <w:rFonts w:hint="eastAsia"/>
          <w:color w:val="auto"/>
          <w:highlight w:val="none"/>
        </w:rPr>
        <w:t>持续开展养老院服务质量提升行动，养老服务从业人员持证上岗率达到</w:t>
      </w:r>
      <w:r>
        <w:rPr>
          <w:rFonts w:hint="eastAsia" w:ascii="Times New Roman" w:hAnsi="Times New Roman"/>
          <w:b w:val="0"/>
          <w:i w:val="0"/>
          <w:color w:val="auto"/>
          <w:highlight w:val="none"/>
        </w:rPr>
        <w:t>100</w:t>
      </w:r>
      <w:r>
        <w:rPr>
          <w:rFonts w:hint="eastAsia"/>
          <w:color w:val="auto"/>
          <w:highlight w:val="none"/>
        </w:rPr>
        <w:t>%。</w:t>
      </w:r>
    </w:p>
    <w:p>
      <w:pPr>
        <w:pStyle w:val="19"/>
        <w:pageBreakBefore w:val="0"/>
        <w:wordWrap/>
        <w:overflowPunct/>
        <w:autoSpaceDE/>
        <w:autoSpaceDN/>
        <w:bidi w:val="0"/>
        <w:spacing w:line="530" w:lineRule="exact"/>
        <w:rPr>
          <w:rFonts w:hint="eastAsia" w:ascii="仿宋" w:hAnsi="仿宋" w:eastAsia="仿宋" w:cs="仿宋"/>
          <w:color w:val="auto"/>
          <w:highlight w:val="none"/>
          <w:lang w:val="en-US" w:eastAsia="zh-CN"/>
        </w:rPr>
      </w:pPr>
      <w:r>
        <w:rPr>
          <w:rFonts w:hint="eastAsia" w:ascii="Times New Roman" w:hAnsi="Times New Roman" w:cs="Times New Roman"/>
          <w:b/>
          <w:bCs/>
          <w:color w:val="auto"/>
          <w:szCs w:val="32"/>
          <w:highlight w:val="none"/>
        </w:rPr>
        <w:t>组织体系织密建强，引领作用持续提升。</w:t>
      </w:r>
      <w:r>
        <w:rPr>
          <w:rFonts w:hint="eastAsia" w:ascii="仿宋" w:hAnsi="仿宋" w:eastAsia="仿宋" w:cs="仿宋"/>
          <w:color w:val="auto"/>
          <w:szCs w:val="32"/>
          <w:highlight w:val="none"/>
        </w:rPr>
        <w:t>塑造“绿园红谱”党建品牌，创新实施党建引领城市、农村、城乡结合区域“三域分治”工作实践路径，全省首创“新五社联动”强基赋能模式，组建</w:t>
      </w:r>
      <w:r>
        <w:rPr>
          <w:rFonts w:hint="eastAsia" w:ascii="仿宋" w:hAnsi="仿宋" w:eastAsia="仿宋" w:cs="仿宋"/>
          <w:color w:val="auto"/>
          <w:szCs w:val="32"/>
          <w:highlight w:val="none"/>
          <w:lang w:val="en-US" w:eastAsia="zh-CN"/>
        </w:rPr>
        <w:t>开发区、社区、小区</w:t>
      </w:r>
      <w:r>
        <w:rPr>
          <w:rFonts w:hint="eastAsia" w:ascii="仿宋" w:hAnsi="仿宋" w:eastAsia="仿宋" w:cs="仿宋"/>
          <w:color w:val="auto"/>
          <w:szCs w:val="32"/>
          <w:highlight w:val="none"/>
        </w:rPr>
        <w:t>“三级治理共同体”，实行</w:t>
      </w:r>
      <w:r>
        <w:rPr>
          <w:rFonts w:hint="eastAsia" w:ascii="仿宋" w:hAnsi="仿宋" w:eastAsia="仿宋" w:cs="仿宋"/>
          <w:color w:val="auto"/>
          <w:szCs w:val="32"/>
          <w:highlight w:val="none"/>
          <w:lang w:eastAsia="zh-CN"/>
        </w:rPr>
        <w:t>“</w:t>
      </w:r>
      <w:r>
        <w:rPr>
          <w:rFonts w:hint="eastAsia" w:ascii="仿宋" w:hAnsi="仿宋" w:eastAsia="仿宋" w:cs="仿宋"/>
          <w:color w:val="auto"/>
          <w:szCs w:val="32"/>
          <w:highlight w:val="none"/>
        </w:rPr>
        <w:t>四型</w:t>
      </w:r>
      <w:r>
        <w:rPr>
          <w:rFonts w:hint="eastAsia" w:ascii="仿宋" w:hAnsi="仿宋" w:eastAsia="仿宋" w:cs="仿宋"/>
          <w:color w:val="auto"/>
          <w:szCs w:val="32"/>
          <w:highlight w:val="none"/>
          <w:lang w:eastAsia="zh-CN"/>
        </w:rPr>
        <w:t>”</w:t>
      </w:r>
      <w:r>
        <w:rPr>
          <w:rFonts w:hint="eastAsia" w:ascii="仿宋" w:hAnsi="仿宋" w:eastAsia="仿宋" w:cs="仿宋"/>
          <w:color w:val="auto"/>
          <w:szCs w:val="32"/>
          <w:highlight w:val="none"/>
        </w:rPr>
        <w:t>围城经济模式，切实提升党建引领高质量发展成效，相关做法在中央和省市主流</w:t>
      </w:r>
      <w:r>
        <w:rPr>
          <w:rFonts w:hint="eastAsia" w:ascii="仿宋" w:hAnsi="仿宋" w:cs="仿宋"/>
          <w:color w:val="auto"/>
          <w:szCs w:val="32"/>
          <w:highlight w:val="none"/>
          <w:lang w:eastAsia="zh-CN"/>
        </w:rPr>
        <w:t>媒体</w:t>
      </w:r>
      <w:r>
        <w:rPr>
          <w:rFonts w:hint="eastAsia" w:ascii="仿宋" w:hAnsi="仿宋" w:eastAsia="仿宋" w:cs="仿宋"/>
          <w:color w:val="auto"/>
          <w:szCs w:val="32"/>
          <w:highlight w:val="none"/>
        </w:rPr>
        <w:t>宣传，连续三年入选国家级创新案例。整合行业、区域资源实行“全域融联”机制，锻造“红谱先锋”党员队伍，基层基础不断夯实。坚持围绕发展所需选干部、配班子，通过重大任务专班锻炼、域外考察学习等方式全面培养干部，创新开展科级干部能力比拼，推进领导班子和领导干部项目化考核，出台《规范干部日常管理暂行办法》等系列制度，制定实施“菁英领航”等年轻干部培养选拔计划，</w:t>
      </w:r>
      <w:r>
        <w:rPr>
          <w:rFonts w:hint="eastAsia" w:ascii="仿宋" w:hAnsi="仿宋" w:eastAsia="仿宋" w:cs="仿宋"/>
          <w:color w:val="auto"/>
          <w:highlight w:val="none"/>
          <w:lang w:val="en-US" w:eastAsia="zh-CN"/>
        </w:rPr>
        <w:t>大力推进干部有序交流、能上能下，</w:t>
      </w:r>
      <w:r>
        <w:rPr>
          <w:rFonts w:hint="eastAsia" w:ascii="仿宋" w:hAnsi="仿宋" w:eastAsia="仿宋" w:cs="仿宋"/>
          <w:color w:val="auto"/>
          <w:szCs w:val="32"/>
          <w:highlight w:val="none"/>
        </w:rPr>
        <w:t>干部队伍结构功能进一步优化，素质显著增强，活力进一步迸发。启动“西城骐骥优秀人才储备项目”，出台《绿园区金融服务人才创新创业若干措施》等政策支撑，打造“西城骐骥”人才品牌，绿园区首批进入全市低空经济人才培养联盟，开辟了引才聚才新赛道，人才品牌影响力不断扩大。</w:t>
      </w:r>
    </w:p>
    <w:p>
      <w:pPr>
        <w:pStyle w:val="4"/>
        <w:pageBreakBefore w:val="0"/>
        <w:wordWrap/>
        <w:overflowPunct/>
        <w:autoSpaceDE/>
        <w:autoSpaceDN/>
        <w:bidi w:val="0"/>
        <w:spacing w:line="530" w:lineRule="exact"/>
        <w:rPr>
          <w:color w:val="auto"/>
          <w:highlight w:val="none"/>
        </w:rPr>
      </w:pPr>
      <w:bookmarkStart w:id="45" w:name="_Toc1987056070"/>
      <w:bookmarkStart w:id="46" w:name="_Toc928295729"/>
      <w:bookmarkStart w:id="47" w:name="_Toc1228156499"/>
      <w:bookmarkStart w:id="48" w:name="_Toc877461581"/>
      <w:r>
        <w:rPr>
          <w:color w:val="auto"/>
          <w:highlight w:val="none"/>
        </w:rPr>
        <w:t>发展形势</w:t>
      </w:r>
      <w:bookmarkEnd w:id="45"/>
      <w:bookmarkEnd w:id="46"/>
      <w:bookmarkEnd w:id="47"/>
      <w:bookmarkEnd w:id="48"/>
    </w:p>
    <w:p>
      <w:pPr>
        <w:pStyle w:val="19"/>
        <w:pageBreakBefore w:val="0"/>
        <w:wordWrap/>
        <w:overflowPunct/>
        <w:autoSpaceDE/>
        <w:autoSpaceDN/>
        <w:bidi w:val="0"/>
        <w:spacing w:line="530" w:lineRule="exact"/>
        <w:rPr>
          <w:color w:val="auto"/>
          <w:highlight w:val="none"/>
        </w:rPr>
      </w:pPr>
      <w:r>
        <w:rPr>
          <w:rFonts w:hint="eastAsia"/>
          <w:color w:val="auto"/>
          <w:highlight w:val="none"/>
          <w:lang w:bidi="ar"/>
        </w:rPr>
        <w:t>百年变局加速演进，新一轮科技革命和产业变革深入发展，我国进入新发展阶段。“十五五”时期，在以城市内涵式发展为主线的当下，机遇与挑战并存、困难与希望同在，绿园区进入振兴发展的关键时期。</w:t>
      </w:r>
    </w:p>
    <w:p>
      <w:pPr>
        <w:pStyle w:val="19"/>
        <w:pageBreakBefore w:val="0"/>
        <w:wordWrap/>
        <w:overflowPunct/>
        <w:autoSpaceDE/>
        <w:autoSpaceDN/>
        <w:bidi w:val="0"/>
        <w:spacing w:line="530" w:lineRule="exact"/>
        <w:ind w:firstLine="643"/>
        <w:rPr>
          <w:color w:val="auto"/>
          <w:highlight w:val="none"/>
        </w:rPr>
      </w:pPr>
      <w:bookmarkStart w:id="49" w:name="OLE_LINK5"/>
      <w:r>
        <w:rPr>
          <w:b/>
          <w:bCs/>
          <w:color w:val="auto"/>
          <w:highlight w:val="none"/>
          <w:lang w:bidi="ar"/>
        </w:rPr>
        <w:t>把握进一步全面深化改革的关键时期，实现改革高效能治理。</w:t>
      </w:r>
      <w:r>
        <w:rPr>
          <w:color w:val="auto"/>
          <w:highlight w:val="none"/>
          <w:lang w:bidi="ar"/>
        </w:rPr>
        <w:t>全面落实党的</w:t>
      </w:r>
      <w:r>
        <w:rPr>
          <w:rFonts w:hint="eastAsia"/>
          <w:color w:val="auto"/>
          <w:highlight w:val="none"/>
          <w:lang w:val="en-US" w:eastAsia="zh-CN" w:bidi="ar"/>
        </w:rPr>
        <w:t>二十大和</w:t>
      </w:r>
      <w:r>
        <w:rPr>
          <w:color w:val="auto"/>
          <w:highlight w:val="none"/>
          <w:lang w:bidi="ar"/>
        </w:rPr>
        <w:t>二十届</w:t>
      </w:r>
      <w:r>
        <w:rPr>
          <w:rFonts w:hint="eastAsia"/>
          <w:color w:val="auto"/>
          <w:highlight w:val="none"/>
          <w:lang w:val="en-US" w:eastAsia="zh-CN" w:bidi="ar"/>
        </w:rPr>
        <w:t>历次</w:t>
      </w:r>
      <w:r>
        <w:rPr>
          <w:color w:val="auto"/>
          <w:highlight w:val="none"/>
          <w:lang w:bidi="ar"/>
        </w:rPr>
        <w:t>全会精神，以经济体制改革为牵引，以制度建设为主线，统筹部署、协同推进各领域改革，构建适应高质量发展的治理体系，以高效能治理支撑中国式现代化绿园实践。</w:t>
      </w:r>
    </w:p>
    <w:bookmarkEnd w:id="49"/>
    <w:p>
      <w:pPr>
        <w:pStyle w:val="19"/>
        <w:pageBreakBefore w:val="0"/>
        <w:wordWrap/>
        <w:overflowPunct/>
        <w:autoSpaceDE/>
        <w:autoSpaceDN/>
        <w:bidi w:val="0"/>
        <w:spacing w:line="530" w:lineRule="exact"/>
        <w:ind w:firstLine="643"/>
        <w:rPr>
          <w:color w:val="auto"/>
          <w:highlight w:val="none"/>
        </w:rPr>
      </w:pPr>
      <w:r>
        <w:rPr>
          <w:b/>
          <w:bCs/>
          <w:color w:val="auto"/>
          <w:highlight w:val="none"/>
          <w:lang w:bidi="ar"/>
        </w:rPr>
        <w:t>把握内涵式发展深度转型的关键时期，实现城市高标准建设。</w:t>
      </w:r>
      <w:r>
        <w:rPr>
          <w:color w:val="auto"/>
          <w:highlight w:val="none"/>
          <w:lang w:bidi="ar"/>
        </w:rPr>
        <w:t>以推动城市高质量发展为主题，以坚持城市内涵式发展为主线，以推进城市更新为重要抓手，大力推动城市结构优化、动能转换、品质提升、绿色转型、文脉赓续、治理增效，牢牢守住城市安全底线。</w:t>
      </w:r>
    </w:p>
    <w:p>
      <w:pPr>
        <w:pStyle w:val="19"/>
        <w:pageBreakBefore w:val="0"/>
        <w:wordWrap/>
        <w:overflowPunct/>
        <w:autoSpaceDE/>
        <w:autoSpaceDN/>
        <w:bidi w:val="0"/>
        <w:spacing w:line="530" w:lineRule="exact"/>
        <w:ind w:firstLine="643"/>
        <w:rPr>
          <w:color w:val="auto"/>
          <w:highlight w:val="none"/>
        </w:rPr>
      </w:pPr>
      <w:r>
        <w:rPr>
          <w:b/>
          <w:bCs/>
          <w:color w:val="auto"/>
          <w:highlight w:val="none"/>
          <w:lang w:bidi="ar"/>
        </w:rPr>
        <w:t>把握长春现代化都市圈建设的关键时期，实现区域高水平发展。</w:t>
      </w:r>
      <w:r>
        <w:rPr>
          <w:color w:val="auto"/>
          <w:highlight w:val="none"/>
          <w:lang w:bidi="ar"/>
        </w:rPr>
        <w:t>激活城区内生动力，推动区域高水平协作，深度参与都市圈产业链分工，形成“互补共赢”的产业生态，坚持“硬连通”与“软建设”同步推进，强化都市圈在交通上的互联互通，推动教育、医疗、文旅等公共服务资源跨区域共享，构建内外联动的开放新格局。</w:t>
      </w:r>
    </w:p>
    <w:p>
      <w:pPr>
        <w:pStyle w:val="19"/>
        <w:pageBreakBefore w:val="0"/>
        <w:wordWrap/>
        <w:overflowPunct/>
        <w:autoSpaceDE/>
        <w:autoSpaceDN/>
        <w:bidi w:val="0"/>
        <w:spacing w:line="530" w:lineRule="exact"/>
        <w:ind w:firstLine="643"/>
        <w:rPr>
          <w:color w:val="auto"/>
          <w:highlight w:val="none"/>
        </w:rPr>
      </w:pPr>
      <w:r>
        <w:rPr>
          <w:b/>
          <w:bCs/>
          <w:color w:val="auto"/>
          <w:highlight w:val="none"/>
          <w:lang w:bidi="ar"/>
        </w:rPr>
        <w:t>把握新质生产力全面发展的关键时期，实现产业高质量转型。</w:t>
      </w:r>
      <w:r>
        <w:rPr>
          <w:color w:val="auto"/>
          <w:highlight w:val="none"/>
          <w:lang w:bidi="ar"/>
        </w:rPr>
        <w:t>紧抓长春市构建“</w:t>
      </w:r>
      <w:r>
        <w:rPr>
          <w:rFonts w:ascii="Times New Roman" w:hAnsi="Times New Roman"/>
          <w:b w:val="0"/>
          <w:i w:val="0"/>
          <w:color w:val="auto"/>
          <w:highlight w:val="none"/>
          <w:lang w:bidi="ar"/>
        </w:rPr>
        <w:t>3</w:t>
      </w:r>
      <w:r>
        <w:rPr>
          <w:color w:val="auto"/>
          <w:highlight w:val="none"/>
          <w:lang w:bidi="ar"/>
        </w:rPr>
        <w:t>转、</w:t>
      </w:r>
      <w:r>
        <w:rPr>
          <w:rFonts w:ascii="Times New Roman" w:hAnsi="Times New Roman"/>
          <w:b w:val="0"/>
          <w:i w:val="0"/>
          <w:color w:val="auto"/>
          <w:highlight w:val="none"/>
          <w:lang w:bidi="ar"/>
        </w:rPr>
        <w:t>4</w:t>
      </w:r>
      <w:r>
        <w:rPr>
          <w:color w:val="auto"/>
          <w:highlight w:val="none"/>
          <w:lang w:bidi="ar"/>
        </w:rPr>
        <w:t>强、</w:t>
      </w:r>
      <w:r>
        <w:rPr>
          <w:rFonts w:ascii="Times New Roman" w:hAnsi="Times New Roman"/>
          <w:b w:val="0"/>
          <w:i w:val="0"/>
          <w:color w:val="auto"/>
          <w:highlight w:val="none"/>
          <w:lang w:bidi="ar"/>
        </w:rPr>
        <w:t>7</w:t>
      </w:r>
      <w:r>
        <w:rPr>
          <w:color w:val="auto"/>
          <w:highlight w:val="none"/>
          <w:lang w:bidi="ar"/>
        </w:rPr>
        <w:t>新”现代化产业体系和建设“一中心、五高地”的战略机遇，聚焦传统产业转型、新兴产业发展、创新驱动力提升等关键问题，围绕“焕新、融合、培育”的产业发展思路，构建富有绿园特色的“</w:t>
      </w:r>
      <w:r>
        <w:rPr>
          <w:rFonts w:hint="eastAsia"/>
          <w:color w:val="auto"/>
          <w:highlight w:val="none"/>
          <w:lang w:val="en-US" w:eastAsia="zh-CN" w:bidi="ar"/>
        </w:rPr>
        <w:t>四</w:t>
      </w:r>
      <w:r>
        <w:rPr>
          <w:color w:val="auto"/>
          <w:highlight w:val="none"/>
          <w:lang w:bidi="ar"/>
        </w:rPr>
        <w:t>链</w:t>
      </w:r>
      <w:r>
        <w:rPr>
          <w:rFonts w:hint="eastAsia"/>
          <w:color w:val="auto"/>
          <w:highlight w:val="none"/>
          <w:lang w:eastAsia="zh-CN" w:bidi="ar"/>
        </w:rPr>
        <w:t>、</w:t>
      </w:r>
      <w:r>
        <w:rPr>
          <w:rFonts w:hint="eastAsia"/>
          <w:color w:val="auto"/>
          <w:highlight w:val="none"/>
          <w:lang w:val="en-US" w:eastAsia="zh-CN" w:bidi="ar"/>
        </w:rPr>
        <w:t>七</w:t>
      </w:r>
      <w:r>
        <w:rPr>
          <w:rFonts w:ascii="Times New Roman" w:hAnsi="Times New Roman"/>
          <w:color w:val="auto"/>
          <w:highlight w:val="none"/>
          <w:lang w:bidi="ar"/>
        </w:rPr>
        <w:t>赛道</w:t>
      </w:r>
      <w:r>
        <w:rPr>
          <w:color w:val="auto"/>
          <w:highlight w:val="none"/>
          <w:lang w:bidi="ar"/>
        </w:rPr>
        <w:t>”现代产业体系，加大科技创新投入，着力吸引集聚高端人才，实现绿园区跨越式发展。</w:t>
      </w:r>
    </w:p>
    <w:p>
      <w:pPr>
        <w:pStyle w:val="19"/>
        <w:pageBreakBefore w:val="0"/>
        <w:wordWrap/>
        <w:overflowPunct/>
        <w:autoSpaceDE/>
        <w:autoSpaceDN/>
        <w:bidi w:val="0"/>
        <w:spacing w:line="530" w:lineRule="exact"/>
        <w:ind w:firstLine="643"/>
        <w:rPr>
          <w:color w:val="auto"/>
          <w:highlight w:val="none"/>
        </w:rPr>
      </w:pPr>
      <w:r>
        <w:rPr>
          <w:b/>
          <w:bCs/>
          <w:color w:val="auto"/>
          <w:highlight w:val="none"/>
          <w:lang w:bidi="ar"/>
        </w:rPr>
        <w:t>把握长春航空展持续发力的关键时期，实现城区高能级跨越。</w:t>
      </w:r>
      <w:r>
        <w:rPr>
          <w:color w:val="auto"/>
          <w:highlight w:val="none"/>
          <w:lang w:bidi="ar"/>
        </w:rPr>
        <w:t>以长春航空展为契机，充分发挥高能级展会服务效能，推动“航展经济”与多元产业</w:t>
      </w:r>
      <w:r>
        <w:rPr>
          <w:rFonts w:hint="eastAsia"/>
          <w:color w:val="auto"/>
          <w:highlight w:val="none"/>
          <w:lang w:eastAsia="zh-CN" w:bidi="ar"/>
        </w:rPr>
        <w:t>深度</w:t>
      </w:r>
      <w:r>
        <w:rPr>
          <w:color w:val="auto"/>
          <w:highlight w:val="none"/>
          <w:lang w:bidi="ar"/>
        </w:rPr>
        <w:t>融合，围绕航空、低空领域，引领航空科创、制造、运维全产业链发展。依托长春市“三城”建设重要契机，高标准建设</w:t>
      </w:r>
      <w:r>
        <w:rPr>
          <w:rFonts w:hint="eastAsia"/>
          <w:color w:val="auto"/>
          <w:highlight w:val="none"/>
          <w:lang w:val="en-US" w:eastAsia="zh-CN" w:bidi="ar"/>
        </w:rPr>
        <w:t>长春</w:t>
      </w:r>
      <w:r>
        <w:rPr>
          <w:color w:val="auto"/>
          <w:highlight w:val="none"/>
          <w:lang w:bidi="ar"/>
        </w:rPr>
        <w:t>国际航空博览城，优化设施建设，提升服务水平，打造城市高质量发展重要引擎。</w:t>
      </w:r>
    </w:p>
    <w:p>
      <w:pPr>
        <w:pStyle w:val="19"/>
        <w:pageBreakBefore w:val="0"/>
        <w:wordWrap/>
        <w:overflowPunct/>
        <w:autoSpaceDE/>
        <w:autoSpaceDN/>
        <w:bidi w:val="0"/>
        <w:spacing w:line="530" w:lineRule="exact"/>
        <w:rPr>
          <w:rFonts w:hint="eastAsia"/>
          <w:color w:val="auto"/>
          <w:highlight w:val="none"/>
        </w:rPr>
      </w:pPr>
      <w:r>
        <w:rPr>
          <w:color w:val="auto"/>
          <w:highlight w:val="none"/>
          <w:lang w:bidi="ar"/>
        </w:rPr>
        <w:t>绿园区发展基础扎实，未来前景广阔。“十五五”时期是绿园区实现全面振兴全方位振兴的重大机遇期与挑战期，全区上下要深刻领悟“两个确立”的决定性意义，增强“四个意识”、坚定“四个自信”、做到“两个维护”，准确把握绿园所处的历史方位和发展定位，保持战略定力，增强必胜信心，发扬斗争精神，准确识变、科学应变、主动求变，深刻把握社会主要矛盾变化带来的新特征新要求，把建设“高质量发展、高品质生活的社会主义现代化新城区”作为奋斗目标，不断推动绿园区经济社会持续健康发展，在中国式现代化建设进程中奋力谱写绿</w:t>
      </w:r>
      <w:r>
        <w:rPr>
          <w:rFonts w:hint="eastAsia"/>
          <w:color w:val="auto"/>
          <w:highlight w:val="none"/>
          <w:lang w:eastAsia="zh-CN" w:bidi="ar"/>
        </w:rPr>
        <w:t>园区</w:t>
      </w:r>
      <w:r>
        <w:rPr>
          <w:color w:val="auto"/>
          <w:highlight w:val="none"/>
          <w:lang w:bidi="ar"/>
        </w:rPr>
        <w:t>全面振兴和高质量发展新篇章。</w:t>
      </w:r>
    </w:p>
    <w:p>
      <w:pPr>
        <w:pStyle w:val="3"/>
        <w:pageBreakBefore w:val="0"/>
        <w:wordWrap/>
        <w:overflowPunct/>
        <w:autoSpaceDE/>
        <w:autoSpaceDN/>
        <w:bidi w:val="0"/>
        <w:spacing w:line="530" w:lineRule="exact"/>
        <w:rPr>
          <w:rFonts w:hint="eastAsia"/>
          <w:color w:val="auto"/>
          <w:highlight w:val="none"/>
        </w:rPr>
      </w:pPr>
      <w:bookmarkStart w:id="50" w:name="_Toc397621848"/>
      <w:bookmarkStart w:id="51" w:name="_Toc12133042"/>
      <w:bookmarkStart w:id="52" w:name="_Toc933173993"/>
      <w:bookmarkStart w:id="53" w:name="_Toc726587918"/>
      <w:bookmarkStart w:id="54" w:name="_Toc1475446749"/>
      <w:bookmarkStart w:id="55" w:name="_Toc1359979888"/>
      <w:bookmarkStart w:id="56" w:name="_Toc13463729"/>
      <w:bookmarkStart w:id="57" w:name="_Toc1361488891"/>
      <w:r>
        <w:rPr>
          <w:rFonts w:hint="eastAsia"/>
          <w:color w:val="auto"/>
          <w:highlight w:val="none"/>
        </w:rPr>
        <w:t>总体要求</w:t>
      </w:r>
      <w:bookmarkEnd w:id="50"/>
      <w:bookmarkEnd w:id="51"/>
      <w:bookmarkEnd w:id="52"/>
      <w:bookmarkEnd w:id="53"/>
      <w:bookmarkEnd w:id="54"/>
      <w:bookmarkEnd w:id="55"/>
      <w:bookmarkEnd w:id="56"/>
      <w:bookmarkEnd w:id="57"/>
    </w:p>
    <w:p>
      <w:pPr>
        <w:pStyle w:val="4"/>
        <w:pageBreakBefore w:val="0"/>
        <w:wordWrap/>
        <w:overflowPunct/>
        <w:autoSpaceDE/>
        <w:autoSpaceDN/>
        <w:bidi w:val="0"/>
        <w:spacing w:line="530" w:lineRule="exact"/>
        <w:rPr>
          <w:color w:val="auto"/>
          <w:highlight w:val="none"/>
        </w:rPr>
      </w:pPr>
      <w:bookmarkStart w:id="58" w:name="_Toc1171120984"/>
      <w:bookmarkStart w:id="59" w:name="_Toc782226310"/>
      <w:bookmarkStart w:id="60" w:name="_Toc205400020"/>
      <w:bookmarkStart w:id="61" w:name="_Toc2008773519"/>
      <w:bookmarkStart w:id="62" w:name="_Toc799110368"/>
      <w:r>
        <w:rPr>
          <w:color w:val="auto"/>
          <w:highlight w:val="none"/>
        </w:rPr>
        <w:t>指导思想</w:t>
      </w:r>
      <w:bookmarkEnd w:id="58"/>
      <w:bookmarkEnd w:id="59"/>
      <w:bookmarkEnd w:id="60"/>
      <w:bookmarkEnd w:id="61"/>
      <w:bookmarkEnd w:id="62"/>
    </w:p>
    <w:p>
      <w:pPr>
        <w:pStyle w:val="19"/>
        <w:pageBreakBefore w:val="0"/>
        <w:wordWrap/>
        <w:overflowPunct/>
        <w:autoSpaceDE/>
        <w:autoSpaceDN/>
        <w:bidi w:val="0"/>
        <w:spacing w:line="530" w:lineRule="exact"/>
        <w:rPr>
          <w:color w:val="auto"/>
          <w:highlight w:val="none"/>
        </w:rPr>
      </w:pPr>
      <w:r>
        <w:rPr>
          <w:rFonts w:hint="eastAsia"/>
          <w:color w:val="auto"/>
          <w:highlight w:val="none"/>
        </w:rPr>
        <w:t>坚持马克思列宁主义、毛泽东思想、邓小平理论、“三个代表”重要思想、科学发展观，全面贯彻习近平新时代中国特色社会主义思想，深入贯彻党的二十大和二十届历次全会精神，不折不扣落实习近平总书记关于东北全面振兴和吉林工作系列重要指示精神，统筹推进“五位一体”总体布局，协调推进“四个全面”战略布局，完整准确全面贯彻新发展理念，积极服务和融入新发展格局，坚持稳中求进工作总基调，坚持以经济建设为中心，以推动高质量发展为主题，以改革创新为根本动力，以满足人民日益增长的美好生活需要为根本目的，以全面从严治党为根本保障，牢记“在中国式现代化建设中展现更大作为”殷殷嘱托，坚决扛稳维护国家“五大安全”重要使命，积极助力长春现代化都市圈建设和“一中心、五高地”打造，统筹实施“一城、六区、七业”的“</w:t>
      </w:r>
      <w:r>
        <w:rPr>
          <w:rFonts w:hint="eastAsia" w:ascii="Times New Roman" w:hAnsi="Times New Roman"/>
          <w:b w:val="0"/>
          <w:i w:val="0"/>
          <w:color w:val="auto"/>
          <w:highlight w:val="none"/>
        </w:rPr>
        <w:t>167</w:t>
      </w:r>
      <w:r>
        <w:rPr>
          <w:rFonts w:hint="eastAsia"/>
          <w:color w:val="auto"/>
          <w:highlight w:val="none"/>
        </w:rPr>
        <w:t>”发展定位，推动经济实现质的有效提升和量的合理增长，推动人的全面发展、全体人民共同富裕迈出坚实步伐，奋力推动全面振兴取得新突破，全力建设高质量发展、高品质生活的现代化新城区，为确保基本建成社会主义现代化新长春取得决定性进展贡献绿园力量。</w:t>
      </w:r>
    </w:p>
    <w:p>
      <w:pPr>
        <w:pStyle w:val="4"/>
        <w:pageBreakBefore w:val="0"/>
        <w:wordWrap/>
        <w:overflowPunct/>
        <w:autoSpaceDE/>
        <w:autoSpaceDN/>
        <w:bidi w:val="0"/>
        <w:spacing w:line="530" w:lineRule="exact"/>
        <w:rPr>
          <w:color w:val="auto"/>
          <w:highlight w:val="none"/>
        </w:rPr>
      </w:pPr>
      <w:bookmarkStart w:id="63" w:name="_Toc1342753333"/>
      <w:bookmarkStart w:id="64" w:name="_Toc2130188883"/>
      <w:bookmarkStart w:id="65" w:name="_Toc285226638"/>
      <w:bookmarkStart w:id="66" w:name="_Toc205400021"/>
      <w:bookmarkStart w:id="67" w:name="_Toc866119346"/>
      <w:r>
        <w:rPr>
          <w:color w:val="auto"/>
          <w:highlight w:val="none"/>
        </w:rPr>
        <w:t>规划原则</w:t>
      </w:r>
      <w:bookmarkEnd w:id="63"/>
      <w:bookmarkEnd w:id="64"/>
      <w:bookmarkEnd w:id="65"/>
      <w:bookmarkEnd w:id="66"/>
      <w:bookmarkEnd w:id="67"/>
    </w:p>
    <w:p>
      <w:pPr>
        <w:pStyle w:val="19"/>
        <w:pageBreakBefore w:val="0"/>
        <w:wordWrap/>
        <w:overflowPunct/>
        <w:autoSpaceDE/>
        <w:autoSpaceDN/>
        <w:bidi w:val="0"/>
        <w:spacing w:line="530" w:lineRule="exact"/>
        <w:ind w:firstLine="643"/>
        <w:rPr>
          <w:color w:val="auto"/>
          <w:highlight w:val="none"/>
        </w:rPr>
      </w:pPr>
      <w:r>
        <w:rPr>
          <w:rFonts w:ascii="Times New Roman" w:hAnsi="Times New Roman" w:cs="Times New Roman"/>
          <w:b/>
          <w:bCs/>
          <w:color w:val="auto"/>
          <w:szCs w:val="30"/>
          <w:highlight w:val="none"/>
          <w:lang w:bidi="ar"/>
        </w:rPr>
        <w:t>坚持党的全面领导。</w:t>
      </w:r>
      <w:r>
        <w:rPr>
          <w:color w:val="auto"/>
          <w:highlight w:val="none"/>
        </w:rPr>
        <w:t>坚决维护党中央权威和集中统一领导，提高党把方向、谋大局、定政策、促改革能力，把党的领导贯穿全区经济社会发展各方面全过程，为我区社会主义现代化建设提供根本保证。</w:t>
      </w:r>
    </w:p>
    <w:p>
      <w:pPr>
        <w:pStyle w:val="19"/>
        <w:pageBreakBefore w:val="0"/>
        <w:wordWrap/>
        <w:overflowPunct/>
        <w:autoSpaceDE/>
        <w:autoSpaceDN/>
        <w:bidi w:val="0"/>
        <w:spacing w:line="530" w:lineRule="exact"/>
        <w:ind w:firstLine="643"/>
        <w:rPr>
          <w:rFonts w:hint="default" w:ascii="Times New Roman" w:hAnsi="Times New Roman" w:cs="Times New Roman"/>
          <w:color w:val="auto"/>
          <w:highlight w:val="none"/>
        </w:rPr>
      </w:pPr>
      <w:r>
        <w:rPr>
          <w:rFonts w:ascii="Times New Roman" w:hAnsi="Times New Roman" w:cs="Times New Roman"/>
          <w:b/>
          <w:bCs/>
          <w:color w:val="auto"/>
          <w:szCs w:val="30"/>
          <w:highlight w:val="none"/>
          <w:lang w:bidi="ar"/>
        </w:rPr>
        <w:t>坚持人民至上。</w:t>
      </w:r>
      <w:r>
        <w:rPr>
          <w:color w:val="auto"/>
          <w:highlight w:val="none"/>
        </w:rPr>
        <w:t>尊重人民主体地位，坚持发展为了人民、发展依靠人民、发展成果由人民共享的核心理念，坚持在发展中保障和改善民生，解决人民群众急难愁盼问题，推动公共服务提质扩容，持续实施民生项目，让现代化建设成果更多更公平惠及全体人民。</w:t>
      </w:r>
    </w:p>
    <w:p>
      <w:pPr>
        <w:pStyle w:val="19"/>
        <w:pageBreakBefore w:val="0"/>
        <w:wordWrap/>
        <w:overflowPunct/>
        <w:autoSpaceDE/>
        <w:autoSpaceDN/>
        <w:bidi w:val="0"/>
        <w:spacing w:line="530" w:lineRule="exact"/>
        <w:ind w:firstLine="643"/>
        <w:rPr>
          <w:color w:val="auto"/>
          <w:highlight w:val="none"/>
        </w:rPr>
      </w:pPr>
      <w:r>
        <w:rPr>
          <w:rFonts w:ascii="Times New Roman" w:hAnsi="Times New Roman" w:cs="Times New Roman"/>
          <w:b/>
          <w:bCs/>
          <w:color w:val="auto"/>
          <w:szCs w:val="30"/>
          <w:highlight w:val="none"/>
          <w:lang w:bidi="ar"/>
        </w:rPr>
        <w:t>坚持高质量发展。</w:t>
      </w:r>
      <w:r>
        <w:rPr>
          <w:color w:val="auto"/>
          <w:highlight w:val="none"/>
        </w:rPr>
        <w:t>以新发展理念引领发展，将创新、协调、绿色、开放、共享理念深度融入绿园发展实践，紧扣长春市“</w:t>
      </w:r>
      <w:r>
        <w:rPr>
          <w:rFonts w:ascii="Times New Roman" w:hAnsi="Times New Roman"/>
          <w:b w:val="0"/>
          <w:i w:val="0"/>
          <w:color w:val="auto"/>
          <w:highlight w:val="none"/>
        </w:rPr>
        <w:t>3</w:t>
      </w:r>
      <w:r>
        <w:rPr>
          <w:color w:val="auto"/>
          <w:highlight w:val="none"/>
        </w:rPr>
        <w:t>转</w:t>
      </w:r>
      <w:r>
        <w:rPr>
          <w:rFonts w:hint="eastAsia"/>
          <w:color w:val="auto"/>
          <w:highlight w:val="none"/>
          <w:lang w:eastAsia="zh-CN"/>
        </w:rPr>
        <w:t>、</w:t>
      </w:r>
      <w:r>
        <w:rPr>
          <w:rFonts w:ascii="Times New Roman" w:hAnsi="Times New Roman"/>
          <w:b w:val="0"/>
          <w:i w:val="0"/>
          <w:color w:val="auto"/>
          <w:highlight w:val="none"/>
        </w:rPr>
        <w:t>4</w:t>
      </w:r>
      <w:r>
        <w:rPr>
          <w:color w:val="auto"/>
          <w:highlight w:val="none"/>
        </w:rPr>
        <w:t>强</w:t>
      </w:r>
      <w:r>
        <w:rPr>
          <w:rFonts w:hint="eastAsia"/>
          <w:color w:val="auto"/>
          <w:highlight w:val="none"/>
          <w:lang w:eastAsia="zh-CN"/>
        </w:rPr>
        <w:t>、</w:t>
      </w:r>
      <w:r>
        <w:rPr>
          <w:rFonts w:ascii="Times New Roman" w:hAnsi="Times New Roman"/>
          <w:b w:val="0"/>
          <w:i w:val="0"/>
          <w:color w:val="auto"/>
          <w:highlight w:val="none"/>
        </w:rPr>
        <w:t>7</w:t>
      </w:r>
      <w:r>
        <w:rPr>
          <w:color w:val="auto"/>
          <w:highlight w:val="none"/>
        </w:rPr>
        <w:t>新”现代化产业体系，做优增量、盘活存量，培育和发展新质生产力，加快传统产业数智化、绿色化改造，推动经济持续健康发展和社会全面进步。</w:t>
      </w:r>
    </w:p>
    <w:p>
      <w:pPr>
        <w:pStyle w:val="19"/>
        <w:pageBreakBefore w:val="0"/>
        <w:wordWrap/>
        <w:overflowPunct/>
        <w:autoSpaceDE/>
        <w:autoSpaceDN/>
        <w:bidi w:val="0"/>
        <w:spacing w:line="530" w:lineRule="exact"/>
        <w:ind w:firstLine="643"/>
        <w:rPr>
          <w:color w:val="auto"/>
          <w:highlight w:val="none"/>
        </w:rPr>
      </w:pPr>
      <w:r>
        <w:rPr>
          <w:rFonts w:ascii="Times New Roman" w:hAnsi="Times New Roman" w:cs="Times New Roman"/>
          <w:b/>
          <w:bCs/>
          <w:color w:val="auto"/>
          <w:szCs w:val="30"/>
          <w:highlight w:val="none"/>
          <w:lang w:bidi="ar"/>
        </w:rPr>
        <w:t>坚持全面深化改革。</w:t>
      </w:r>
      <w:r>
        <w:rPr>
          <w:color w:val="auto"/>
          <w:highlight w:val="none"/>
        </w:rPr>
        <w:t>聚焦制约高质量发展的体制机制障碍，以优化营商环境为基础，全面深化改革，推进体制机制创新，深化“放管服”改革，扩大与天津对口合作等开放平台效应，持续增强发展动力和社会活力。</w:t>
      </w:r>
    </w:p>
    <w:p>
      <w:pPr>
        <w:pStyle w:val="19"/>
        <w:pageBreakBefore w:val="0"/>
        <w:wordWrap/>
        <w:overflowPunct/>
        <w:autoSpaceDE/>
        <w:autoSpaceDN/>
        <w:bidi w:val="0"/>
        <w:spacing w:line="530" w:lineRule="exact"/>
        <w:ind w:firstLine="643"/>
        <w:rPr>
          <w:color w:val="auto"/>
          <w:highlight w:val="none"/>
        </w:rPr>
      </w:pPr>
      <w:r>
        <w:rPr>
          <w:rFonts w:ascii="Times New Roman" w:hAnsi="Times New Roman" w:cs="Times New Roman"/>
          <w:b/>
          <w:bCs/>
          <w:color w:val="auto"/>
          <w:szCs w:val="30"/>
          <w:highlight w:val="none"/>
          <w:lang w:bidi="ar"/>
        </w:rPr>
        <w:t>坚持有效市场和有为政府相结合。</w:t>
      </w:r>
      <w:r>
        <w:rPr>
          <w:color w:val="auto"/>
          <w:highlight w:val="none"/>
        </w:rPr>
        <w:t>充分发挥市场在资源配置中的决定性作用，更好发挥政府作用，推动有效市场和有为政府更好结合，最大限度激发各类市场主体内生动力和创新活力，打造市场化、法治化、国际化营商环境，形成既“放得活”又“管得好”的经济</w:t>
      </w:r>
      <w:r>
        <w:rPr>
          <w:rFonts w:hint="eastAsia"/>
          <w:color w:val="auto"/>
          <w:highlight w:val="none"/>
          <w:lang w:val="en-US" w:eastAsia="zh-CN"/>
        </w:rPr>
        <w:t>发展</w:t>
      </w:r>
      <w:r>
        <w:rPr>
          <w:color w:val="auto"/>
          <w:highlight w:val="none"/>
        </w:rPr>
        <w:t>秩序。</w:t>
      </w:r>
    </w:p>
    <w:p>
      <w:pPr>
        <w:pStyle w:val="19"/>
        <w:pageBreakBefore w:val="0"/>
        <w:wordWrap/>
        <w:overflowPunct/>
        <w:autoSpaceDE/>
        <w:autoSpaceDN/>
        <w:bidi w:val="0"/>
        <w:spacing w:line="530" w:lineRule="exact"/>
        <w:rPr>
          <w:rFonts w:hint="eastAsia"/>
          <w:color w:val="auto"/>
          <w:highlight w:val="none"/>
        </w:rPr>
      </w:pPr>
      <w:r>
        <w:rPr>
          <w:rFonts w:ascii="Times New Roman" w:hAnsi="Times New Roman" w:cs="Times New Roman"/>
          <w:b/>
          <w:bCs/>
          <w:color w:val="auto"/>
          <w:szCs w:val="30"/>
          <w:highlight w:val="none"/>
          <w:lang w:bidi="ar"/>
        </w:rPr>
        <w:t>坚持统筹发展和安全。</w:t>
      </w:r>
      <w:r>
        <w:rPr>
          <w:color w:val="auto"/>
          <w:highlight w:val="none"/>
        </w:rPr>
        <w:t>强化底线思维，在发展中固安全，在安全中谋发展，着力提升产业链供应链韧性和安全水平，强化基础设施韧性和</w:t>
      </w:r>
      <w:r>
        <w:rPr>
          <w:rFonts w:hint="eastAsia"/>
          <w:color w:val="auto"/>
          <w:highlight w:val="none"/>
          <w:lang w:eastAsia="zh-CN"/>
        </w:rPr>
        <w:t>城市精细化治理</w:t>
      </w:r>
      <w:r>
        <w:rPr>
          <w:color w:val="auto"/>
          <w:highlight w:val="none"/>
        </w:rPr>
        <w:t>，防范化解重大风险，以新安全格局保障新发展格局。</w:t>
      </w:r>
    </w:p>
    <w:p>
      <w:pPr>
        <w:pStyle w:val="3"/>
        <w:pageBreakBefore w:val="0"/>
        <w:wordWrap/>
        <w:overflowPunct/>
        <w:autoSpaceDE/>
        <w:autoSpaceDN/>
        <w:bidi w:val="0"/>
        <w:spacing w:line="530" w:lineRule="exact"/>
        <w:rPr>
          <w:rFonts w:hint="eastAsia"/>
          <w:color w:val="auto"/>
          <w:highlight w:val="none"/>
        </w:rPr>
      </w:pPr>
      <w:bookmarkStart w:id="68" w:name="_Toc1105532252"/>
      <w:bookmarkStart w:id="69" w:name="_Toc1513522595"/>
      <w:bookmarkStart w:id="70" w:name="_Toc1897105055"/>
      <w:bookmarkStart w:id="71" w:name="_Toc620604762"/>
      <w:bookmarkStart w:id="72" w:name="_Toc1384677444"/>
      <w:bookmarkStart w:id="73" w:name="_Toc1223688856"/>
      <w:bookmarkStart w:id="74" w:name="_Toc839838534"/>
      <w:bookmarkStart w:id="75" w:name="_Toc2056574076"/>
      <w:r>
        <w:rPr>
          <w:rFonts w:hint="eastAsia"/>
          <w:color w:val="auto"/>
          <w:highlight w:val="none"/>
        </w:rPr>
        <w:t>发展目标</w:t>
      </w:r>
      <w:bookmarkEnd w:id="68"/>
      <w:bookmarkEnd w:id="69"/>
      <w:bookmarkEnd w:id="70"/>
      <w:bookmarkEnd w:id="71"/>
      <w:bookmarkEnd w:id="72"/>
      <w:bookmarkEnd w:id="73"/>
      <w:bookmarkEnd w:id="74"/>
      <w:bookmarkEnd w:id="75"/>
    </w:p>
    <w:p>
      <w:pPr>
        <w:pStyle w:val="4"/>
        <w:pageBreakBefore w:val="0"/>
        <w:wordWrap/>
        <w:overflowPunct/>
        <w:autoSpaceDE/>
        <w:autoSpaceDN/>
        <w:bidi w:val="0"/>
        <w:spacing w:line="530" w:lineRule="exact"/>
        <w:rPr>
          <w:color w:val="auto"/>
          <w:highlight w:val="none"/>
        </w:rPr>
      </w:pPr>
      <w:bookmarkStart w:id="76" w:name="_Toc87715473"/>
      <w:bookmarkStart w:id="77" w:name="_Toc954952376"/>
      <w:bookmarkStart w:id="78" w:name="_Toc205400023"/>
      <w:bookmarkStart w:id="79" w:name="_Toc176161455"/>
      <w:r>
        <w:rPr>
          <w:rFonts w:hint="eastAsia"/>
          <w:color w:val="auto"/>
          <w:highlight w:val="none"/>
        </w:rPr>
        <w:t>发展定位</w:t>
      </w:r>
      <w:bookmarkEnd w:id="76"/>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深入贯彻落实习近平总书记关于东北振兴和吉林工作系列重要讲话重要指示精神，紧抓长春市“一中心、五高地”发展战略，牢牢把握绿园区新时代发展“五个关键时期”，深入贯彻落实“</w:t>
      </w:r>
      <w:r>
        <w:rPr>
          <w:rFonts w:ascii="Times New Roman" w:hAnsi="Times New Roman" w:cs="Times New Roman"/>
          <w:b w:val="0"/>
          <w:i w:val="0"/>
          <w:color w:val="auto"/>
          <w:szCs w:val="32"/>
          <w:highlight w:val="none"/>
          <w:lang w:bidi="ar"/>
        </w:rPr>
        <w:t>167</w:t>
      </w:r>
      <w:r>
        <w:rPr>
          <w:rFonts w:ascii="Times New Roman" w:hAnsi="Times New Roman" w:cs="Times New Roman"/>
          <w:color w:val="auto"/>
          <w:szCs w:val="32"/>
          <w:highlight w:val="none"/>
          <w:lang w:bidi="ar"/>
        </w:rPr>
        <w:t>”发展定位，全力建设高质量发展、高品质生活的现代化新城区。</w:t>
      </w:r>
    </w:p>
    <w:p>
      <w:pPr>
        <w:pStyle w:val="19"/>
        <w:pageBreakBefore w:val="0"/>
        <w:wordWrap/>
        <w:overflowPunct/>
        <w:autoSpaceDE/>
        <w:autoSpaceDN/>
        <w:bidi w:val="0"/>
        <w:spacing w:line="530" w:lineRule="exac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“一城”为</w:t>
      </w:r>
      <w:r>
        <w:rPr>
          <w:rFonts w:hint="eastAsia" w:ascii="Times New Roman" w:hAnsi="Times New Roman" w:cs="Times New Roman"/>
          <w:color w:val="auto"/>
          <w:szCs w:val="32"/>
          <w:highlight w:val="none"/>
          <w:lang w:val="en-US" w:eastAsia="zh-CN" w:bidi="ar"/>
        </w:rPr>
        <w:t>长春</w:t>
      </w:r>
      <w:r>
        <w:rPr>
          <w:rFonts w:ascii="Times New Roman" w:hAnsi="Times New Roman" w:cs="Times New Roman"/>
          <w:color w:val="auto"/>
          <w:szCs w:val="32"/>
          <w:highlight w:val="none"/>
          <w:lang w:bidi="ar"/>
        </w:rPr>
        <w:t>国际航空博览城。依托长春航空展及</w:t>
      </w:r>
      <w:r>
        <w:rPr>
          <w:rFonts w:hint="eastAsia" w:ascii="Times New Roman" w:hAnsi="Times New Roman" w:cs="Times New Roman"/>
          <w:color w:val="auto"/>
          <w:szCs w:val="32"/>
          <w:highlight w:val="none"/>
          <w:lang w:val="en-US" w:eastAsia="zh-CN" w:bidi="ar"/>
        </w:rPr>
        <w:t>长春国际航空博览城（以下简称</w:t>
      </w:r>
      <w:r>
        <w:rPr>
          <w:rFonts w:ascii="Times New Roman" w:hAnsi="Times New Roman" w:cs="Times New Roman"/>
          <w:color w:val="auto"/>
          <w:szCs w:val="32"/>
          <w:highlight w:val="none"/>
          <w:lang w:bidi="ar"/>
        </w:rPr>
        <w:t>航博城</w:t>
      </w:r>
      <w:r>
        <w:rPr>
          <w:rFonts w:hint="eastAsia" w:ascii="Times New Roman" w:hAnsi="Times New Roman" w:cs="Times New Roman"/>
          <w:color w:val="auto"/>
          <w:szCs w:val="32"/>
          <w:highlight w:val="none"/>
          <w:lang w:eastAsia="zh-CN" w:bidi="ar"/>
        </w:rPr>
        <w:t>）</w:t>
      </w:r>
      <w:r>
        <w:rPr>
          <w:rFonts w:ascii="Times New Roman" w:hAnsi="Times New Roman" w:cs="Times New Roman"/>
          <w:color w:val="auto"/>
          <w:szCs w:val="32"/>
          <w:highlight w:val="none"/>
          <w:lang w:bidi="ar"/>
        </w:rPr>
        <w:t>建设，高水平推动交通、市政等基础设施建设，完善航博城服务体系。推动“以展促产”，聚焦展会、论坛、赛事等重点方向，擦亮航空文化品牌，打造“永不落幕的航展”。加强航空领域科创能力提升，带动航空制造、低空经济、航空运维等产业发展，打造城市西部新增长极。</w:t>
      </w:r>
    </w:p>
    <w:p>
      <w:pPr>
        <w:pStyle w:val="19"/>
        <w:pageBreakBefore w:val="0"/>
        <w:wordWrap/>
        <w:overflowPunct/>
        <w:autoSpaceDE/>
        <w:autoSpaceDN/>
        <w:bidi w:val="0"/>
        <w:spacing w:line="530" w:lineRule="exact"/>
        <w:ind w:firstLine="640"/>
        <w:rPr>
          <w:rFonts w:hint="default" w:ascii="Times New Roman" w:hAnsi="Times New Roman" w:cs="Times New Roman"/>
          <w:color w:val="auto"/>
          <w:szCs w:val="32"/>
          <w:highlight w:val="none"/>
          <w:lang w:bidi="ar"/>
        </w:rPr>
      </w:pPr>
      <w:r>
        <w:rPr>
          <w:rFonts w:ascii="Times New Roman" w:hAnsi="Times New Roman" w:cs="Times New Roman"/>
          <w:b w:val="0"/>
          <w:bCs w:val="0"/>
          <w:color w:val="auto"/>
          <w:szCs w:val="32"/>
          <w:highlight w:val="none"/>
          <w:lang w:bidi="ar"/>
        </w:rPr>
        <w:t>“六区”为</w:t>
      </w:r>
      <w:r>
        <w:rPr>
          <w:rFonts w:ascii="Times New Roman" w:hAnsi="Times New Roman" w:cs="Times New Roman"/>
          <w:color w:val="auto"/>
          <w:szCs w:val="32"/>
          <w:highlight w:val="none"/>
          <w:lang w:bidi="ar"/>
        </w:rPr>
        <w:t>西客站综合枢纽门户区</w:t>
      </w:r>
      <w:r>
        <w:rPr>
          <w:rFonts w:ascii="Times New Roman" w:hAnsi="Times New Roman" w:cs="Times New Roman"/>
          <w:b w:val="0"/>
          <w:bCs w:val="0"/>
          <w:color w:val="auto"/>
          <w:szCs w:val="32"/>
          <w:highlight w:val="none"/>
          <w:lang w:bidi="ar"/>
        </w:rPr>
        <w:t>、两车高端装备科创智造区、都市农业现代化示范区、皓月肉牛融合发展区、雁鸣湖生态康养区、老城焕新服务活力区</w:t>
      </w:r>
      <w:r>
        <w:rPr>
          <w:rFonts w:ascii="Times New Roman" w:hAnsi="Times New Roman" w:cs="Times New Roman"/>
          <w:color w:val="auto"/>
          <w:szCs w:val="32"/>
          <w:highlight w:val="none"/>
          <w:lang w:bidi="ar"/>
        </w:rPr>
        <w:t>。充分发挥各自优势，发展特色产业，打造六个特色鲜明的城市发展片区，激发城区发展动能，引领绿园区高质量发展。</w:t>
      </w:r>
    </w:p>
    <w:p>
      <w:pPr>
        <w:pStyle w:val="19"/>
        <w:pageBreakBefore w:val="0"/>
        <w:wordWrap/>
        <w:overflowPunct/>
        <w:autoSpaceDE/>
        <w:autoSpaceDN/>
        <w:bidi w:val="0"/>
        <w:spacing w:line="530" w:lineRule="exact"/>
        <w:rPr>
          <w:rFonts w:hint="eastAsia"/>
          <w:color w:val="auto"/>
          <w:highlight w:val="none"/>
        </w:rPr>
      </w:pPr>
      <w:r>
        <w:rPr>
          <w:color w:val="auto"/>
          <w:highlight w:val="none"/>
        </w:rPr>
        <w:t>“七业”为智能装备制造、农产品精深加工（品牌种植）、低空经济、新材料与新能源、知识密集型服务业、生态康养、</w:t>
      </w:r>
      <w:r>
        <w:rPr>
          <w:rFonts w:hint="eastAsia"/>
          <w:color w:val="auto"/>
          <w:highlight w:val="none"/>
          <w:lang w:val="en-US" w:eastAsia="zh-CN"/>
        </w:rPr>
        <w:t>商旅消费</w:t>
      </w:r>
      <w:r>
        <w:rPr>
          <w:color w:val="auto"/>
          <w:highlight w:val="none"/>
        </w:rPr>
        <w:t>等七条产业赛道。聚焦农畜产品现代化产业、高端装备及先进制造产业、生产性服务业和文商旅融合产业，推动绿园区产业向高端化、智能化、精细化迈进，助推绿园区产业发展提质升级。</w:t>
      </w:r>
    </w:p>
    <w:p>
      <w:pPr>
        <w:pStyle w:val="4"/>
        <w:pageBreakBefore w:val="0"/>
        <w:wordWrap/>
        <w:overflowPunct/>
        <w:autoSpaceDE/>
        <w:autoSpaceDN/>
        <w:bidi w:val="0"/>
        <w:spacing w:line="530" w:lineRule="exact"/>
        <w:rPr>
          <w:rFonts w:hint="eastAsia"/>
          <w:color w:val="auto"/>
          <w:highlight w:val="none"/>
        </w:rPr>
      </w:pPr>
      <w:bookmarkStart w:id="80" w:name="_Toc1060172869"/>
      <w:r>
        <w:rPr>
          <w:color w:val="auto"/>
          <w:highlight w:val="none"/>
        </w:rPr>
        <w:t>目标愿景</w:t>
      </w:r>
      <w:bookmarkEnd w:id="77"/>
      <w:bookmarkEnd w:id="78"/>
      <w:bookmarkEnd w:id="79"/>
      <w:bookmarkEnd w:id="80"/>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到</w:t>
      </w:r>
      <w:r>
        <w:rPr>
          <w:rFonts w:ascii="Times New Roman" w:hAnsi="Times New Roman" w:cs="Times New Roman"/>
          <w:b w:val="0"/>
          <w:i w:val="0"/>
          <w:color w:val="auto"/>
          <w:szCs w:val="32"/>
          <w:highlight w:val="none"/>
          <w:lang w:bidi="ar"/>
        </w:rPr>
        <w:t>2030</w:t>
      </w:r>
      <w:r>
        <w:rPr>
          <w:rFonts w:ascii="Times New Roman" w:hAnsi="Times New Roman" w:cs="Times New Roman"/>
          <w:color w:val="auto"/>
          <w:szCs w:val="32"/>
          <w:highlight w:val="none"/>
          <w:lang w:bidi="ar"/>
        </w:rPr>
        <w:t>年，“一城、六区、七业”建设取得实质性成果，城区内聚发展态势基本形成，产业体系持续完善，</w:t>
      </w:r>
      <w:r>
        <w:rPr>
          <w:color w:val="auto"/>
          <w:szCs w:val="32"/>
          <w:highlight w:val="none"/>
        </w:rPr>
        <w:t>科技成果创新引领作用凸显，绿色转型成效显著，城区活力稳步提升，</w:t>
      </w:r>
      <w:r>
        <w:rPr>
          <w:rFonts w:ascii="Times New Roman" w:hAnsi="Times New Roman" w:cs="Times New Roman"/>
          <w:color w:val="auto"/>
          <w:szCs w:val="32"/>
          <w:highlight w:val="none"/>
          <w:lang w:bidi="ar"/>
        </w:rPr>
        <w:t>将绿园区打造为动能转换卓越城区、绿色集聚宜居城区、航空文化魅力城区、青春包容活力城区、安全智慧花园城区。</w:t>
      </w:r>
    </w:p>
    <w:p>
      <w:pPr>
        <w:pStyle w:val="19"/>
        <w:pageBreakBefore w:val="0"/>
        <w:wordWrap/>
        <w:overflowPunct/>
        <w:autoSpaceDE/>
        <w:autoSpaceDN/>
        <w:bidi w:val="0"/>
        <w:spacing w:line="530" w:lineRule="exact"/>
        <w:rPr>
          <w:rFonts w:hint="eastAsia" w:ascii="Times New Roman" w:hAnsi="Times New Roman" w:eastAsia="仿宋_GB2312" w:cs="Times New Roman"/>
          <w:color w:val="auto"/>
          <w:szCs w:val="32"/>
          <w:highlight w:val="none"/>
          <w:lang w:bidi="ar"/>
        </w:rPr>
      </w:pPr>
      <w:r>
        <w:rPr>
          <w:rFonts w:ascii="Times New Roman" w:hAnsi="Times New Roman" w:cs="Times New Roman"/>
          <w:b/>
          <w:bCs/>
          <w:color w:val="auto"/>
          <w:szCs w:val="32"/>
          <w:highlight w:val="none"/>
          <w:lang w:bidi="ar"/>
        </w:rPr>
        <w:t>产业发展实现由制造型向复合型转型，打造动能转换卓越城区。</w:t>
      </w:r>
      <w:r>
        <w:rPr>
          <w:rFonts w:ascii="Times New Roman" w:hAnsi="Times New Roman" w:cs="Times New Roman"/>
          <w:color w:val="auto"/>
          <w:szCs w:val="32"/>
          <w:highlight w:val="none"/>
          <w:lang w:bidi="ar"/>
        </w:rPr>
        <w:t>装备制造等传统产业</w:t>
      </w:r>
      <w:r>
        <w:rPr>
          <w:rFonts w:hint="eastAsia" w:ascii="仿宋_GB2312" w:hAnsi="仿宋_GB2312" w:cs="仿宋_GB2312"/>
          <w:color w:val="auto"/>
          <w:szCs w:val="32"/>
          <w:highlight w:val="none"/>
          <w:lang w:bidi="ar"/>
        </w:rPr>
        <w:t>“</w:t>
      </w:r>
      <w:r>
        <w:rPr>
          <w:rFonts w:ascii="仿宋_GB2312" w:hAnsi="仿宋_GB2312" w:cs="仿宋_GB2312"/>
          <w:color w:val="auto"/>
          <w:szCs w:val="32"/>
          <w:highlight w:val="none"/>
          <w:lang w:bidi="ar"/>
        </w:rPr>
        <w:t>智改数转</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全面推进，专业人才队伍建设、重大平台打造、创新主体培育取得重大突破，生活性服务业链条加快构建，</w:t>
      </w:r>
      <w:r>
        <w:rPr>
          <w:rFonts w:hint="eastAsia" w:ascii="仿宋_GB2312" w:hAnsi="仿宋_GB2312" w:cs="仿宋_GB2312"/>
          <w:color w:val="auto"/>
          <w:szCs w:val="32"/>
          <w:highlight w:val="none"/>
          <w:lang w:bidi="ar"/>
        </w:rPr>
        <w:t>“</w:t>
      </w:r>
      <w:r>
        <w:rPr>
          <w:rFonts w:ascii="仿宋_GB2312" w:hAnsi="仿宋_GB2312" w:cs="仿宋_GB2312"/>
          <w:color w:val="auto"/>
          <w:szCs w:val="32"/>
          <w:highlight w:val="none"/>
          <w:lang w:bidi="ar"/>
        </w:rPr>
        <w:t>四链、七赛道</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产业体系基本建成，形成长春</w:t>
      </w:r>
      <w:r>
        <w:rPr>
          <w:rFonts w:hint="eastAsia" w:ascii="Times New Roman" w:hAnsi="Times New Roman" w:cs="Times New Roman"/>
          <w:color w:val="auto"/>
          <w:szCs w:val="32"/>
          <w:highlight w:val="none"/>
          <w:lang w:val="en-US" w:eastAsia="zh-CN" w:bidi="ar"/>
        </w:rPr>
        <w:t>现代化</w:t>
      </w:r>
      <w:r>
        <w:rPr>
          <w:rFonts w:ascii="Times New Roman" w:hAnsi="Times New Roman" w:cs="Times New Roman"/>
          <w:color w:val="auto"/>
          <w:szCs w:val="32"/>
          <w:highlight w:val="none"/>
          <w:lang w:bidi="ar"/>
        </w:rPr>
        <w:t>都市圈西部增长极。</w:t>
      </w:r>
    </w:p>
    <w:p>
      <w:pPr>
        <w:pStyle w:val="19"/>
        <w:pageBreakBefore w:val="0"/>
        <w:wordWrap/>
        <w:overflowPunct/>
        <w:autoSpaceDE/>
        <w:autoSpaceDN/>
        <w:bidi w:val="0"/>
        <w:spacing w:line="530" w:lineRule="exact"/>
        <w:rPr>
          <w:rFonts w:hint="eastAsia" w:ascii="Times New Roman" w:hAnsi="Times New Roman" w:eastAsia="仿宋_GB2312" w:cs="Times New Roman"/>
          <w:color w:val="auto"/>
          <w:szCs w:val="32"/>
          <w:highlight w:val="none"/>
          <w:lang w:bidi="ar"/>
        </w:rPr>
      </w:pPr>
      <w:r>
        <w:rPr>
          <w:rFonts w:ascii="Times New Roman" w:hAnsi="Times New Roman" w:cs="Times New Roman"/>
          <w:b/>
          <w:bCs/>
          <w:color w:val="auto"/>
          <w:szCs w:val="32"/>
          <w:highlight w:val="none"/>
          <w:lang w:bidi="ar"/>
        </w:rPr>
        <w:t>城市结构实现由外溢型向内聚型转型，打造绿色集聚宜居城区。</w:t>
      </w:r>
      <w:r>
        <w:rPr>
          <w:rFonts w:hint="eastAsia" w:ascii="仿宋_GB2312" w:hAnsi="仿宋_GB2312" w:cs="仿宋_GB2312"/>
          <w:color w:val="auto"/>
          <w:szCs w:val="32"/>
          <w:highlight w:val="none"/>
          <w:lang w:bidi="ar"/>
        </w:rPr>
        <w:t>“</w:t>
      </w:r>
      <w:r>
        <w:rPr>
          <w:rFonts w:ascii="仿宋_GB2312" w:hAnsi="仿宋_GB2312" w:cs="仿宋_GB2312"/>
          <w:color w:val="auto"/>
          <w:szCs w:val="32"/>
          <w:highlight w:val="none"/>
          <w:lang w:bidi="ar"/>
        </w:rPr>
        <w:t>人城境业</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高度和谐统一的美好愿景加速实现，生态优先、绿色发展方式加快形成，城区核心产业、人才集聚效应显著提升，片区特色功能加快打造，城市生态价值、人文价值、经济价值、生活价值、社会价值持续提升，</w:t>
      </w:r>
      <w:r>
        <w:rPr>
          <w:rFonts w:hint="eastAsia" w:ascii="仿宋_GB2312" w:hAnsi="仿宋_GB2312" w:cs="仿宋_GB2312"/>
          <w:color w:val="auto"/>
          <w:szCs w:val="32"/>
          <w:highlight w:val="none"/>
          <w:lang w:bidi="ar"/>
        </w:rPr>
        <w:t>“</w:t>
      </w:r>
      <w:r>
        <w:rPr>
          <w:rFonts w:ascii="仿宋_GB2312" w:hAnsi="仿宋_GB2312" w:cs="仿宋_GB2312"/>
          <w:color w:val="auto"/>
          <w:szCs w:val="32"/>
          <w:highlight w:val="none"/>
          <w:lang w:bidi="ar"/>
        </w:rPr>
        <w:t>一城六区</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城市空间格局成势成型。</w:t>
      </w:r>
    </w:p>
    <w:p>
      <w:pPr>
        <w:pStyle w:val="19"/>
        <w:pageBreakBefore w:val="0"/>
        <w:wordWrap/>
        <w:overflowPunct/>
        <w:topLinePunct/>
        <w:autoSpaceDE/>
        <w:autoSpaceDN/>
        <w:bidi w:val="0"/>
        <w:spacing w:line="530" w:lineRule="exact"/>
        <w:ind w:right="-222" w:rightChars="-106" w:firstLine="643" w:firstLineChars="200"/>
        <w:rPr>
          <w:rFonts w:hint="eastAsia" w:ascii="Times New Roman" w:hAnsi="Times New Roman" w:eastAsia="仿宋_GB2312" w:cs="Times New Roman"/>
          <w:color w:val="auto"/>
          <w:szCs w:val="32"/>
          <w:highlight w:val="none"/>
          <w:lang w:bidi="ar"/>
        </w:rPr>
      </w:pPr>
      <w:r>
        <w:rPr>
          <w:rFonts w:ascii="Times New Roman" w:hAnsi="Times New Roman" w:cs="Times New Roman"/>
          <w:b/>
          <w:bCs/>
          <w:color w:val="auto"/>
          <w:szCs w:val="32"/>
          <w:highlight w:val="none"/>
          <w:lang w:bidi="ar"/>
        </w:rPr>
        <w:t>城市形象实现由内敛型向开放型转型，打造航空文化魅力城区。</w:t>
      </w:r>
      <w:r>
        <w:rPr>
          <w:rFonts w:ascii="Times New Roman" w:hAnsi="Times New Roman" w:cs="Times New Roman"/>
          <w:color w:val="auto"/>
          <w:szCs w:val="32"/>
          <w:highlight w:val="none"/>
          <w:lang w:bidi="ar"/>
        </w:rPr>
        <w:t>航空文化、航空产业、航空会展协同发展基本成势，航空文化产业生态体系初步形成，着力将长春国际航空博览城建设成为长春西部新增长极、航空文旅观光带、特色产业和新质生产力集聚区，实现引流量、聚人气、增活力的目标。</w:t>
      </w:r>
    </w:p>
    <w:p>
      <w:pPr>
        <w:pStyle w:val="19"/>
        <w:pageBreakBefore w:val="0"/>
        <w:wordWrap/>
        <w:overflowPunct/>
        <w:topLinePunct/>
        <w:autoSpaceDE/>
        <w:autoSpaceDN/>
        <w:bidi w:val="0"/>
        <w:spacing w:line="530" w:lineRule="exact"/>
        <w:ind w:right="-222" w:rightChars="-106" w:firstLine="643" w:firstLineChars="200"/>
        <w:rPr>
          <w:rFonts w:hint="eastAsia" w:ascii="Times New Roman" w:hAnsi="Times New Roman" w:eastAsia="仿宋_GB2312" w:cs="Times New Roman"/>
          <w:color w:val="auto"/>
          <w:szCs w:val="32"/>
          <w:highlight w:val="none"/>
          <w:lang w:bidi="ar"/>
        </w:rPr>
      </w:pPr>
      <w:r>
        <w:rPr>
          <w:rFonts w:ascii="Times New Roman" w:hAnsi="Times New Roman" w:cs="Times New Roman"/>
          <w:b/>
          <w:bCs/>
          <w:color w:val="auto"/>
          <w:szCs w:val="32"/>
          <w:highlight w:val="none"/>
          <w:lang w:bidi="ar"/>
        </w:rPr>
        <w:t>劳动人口实现由高流量向高黏性转型，打造青春包容活力城区。</w:t>
      </w:r>
      <w:r>
        <w:rPr>
          <w:rFonts w:ascii="Times New Roman" w:hAnsi="Times New Roman" w:cs="Times New Roman"/>
          <w:color w:val="auto"/>
          <w:szCs w:val="32"/>
          <w:highlight w:val="none"/>
          <w:lang w:bidi="ar"/>
        </w:rPr>
        <w:t>教育、医疗、养老等公共服务实现优质均衡覆盖，</w:t>
      </w:r>
      <w:r>
        <w:rPr>
          <w:rFonts w:hint="eastAsia" w:ascii="仿宋_GB2312" w:hAnsi="仿宋_GB2312" w:cs="仿宋_GB2312"/>
          <w:color w:val="auto"/>
          <w:szCs w:val="32"/>
          <w:highlight w:val="none"/>
          <w:lang w:bidi="ar"/>
        </w:rPr>
        <w:t>“</w:t>
      </w:r>
      <w:r>
        <w:rPr>
          <w:rFonts w:hint="default" w:ascii="Times New Roman" w:hAnsi="Times New Roman" w:cs="Times New Roman"/>
          <w:b w:val="0"/>
          <w:i w:val="0"/>
          <w:color w:val="auto"/>
          <w:szCs w:val="32"/>
          <w:highlight w:val="none"/>
          <w:lang w:bidi="ar"/>
        </w:rPr>
        <w:t>15</w:t>
      </w:r>
      <w:r>
        <w:rPr>
          <w:rFonts w:ascii="Times New Roman" w:hAnsi="Times New Roman" w:cs="Times New Roman"/>
          <w:color w:val="auto"/>
          <w:szCs w:val="32"/>
          <w:highlight w:val="none"/>
          <w:lang w:bidi="ar"/>
        </w:rPr>
        <w:t>分钟便民生活圈</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全域贯通，居民生活服务质量全面提升，生活成本进一步降低。</w:t>
      </w:r>
      <w:r>
        <w:rPr>
          <w:rFonts w:hint="eastAsia" w:ascii="仿宋_GB2312" w:hAnsi="仿宋_GB2312" w:cs="仿宋_GB2312"/>
          <w:color w:val="auto"/>
          <w:szCs w:val="32"/>
          <w:highlight w:val="none"/>
          <w:lang w:bidi="ar"/>
        </w:rPr>
        <w:t>“</w:t>
      </w:r>
      <w:r>
        <w:rPr>
          <w:rFonts w:ascii="仿宋_GB2312" w:hAnsi="仿宋_GB2312" w:cs="仿宋_GB2312"/>
          <w:color w:val="auto"/>
          <w:szCs w:val="32"/>
          <w:highlight w:val="none"/>
          <w:lang w:bidi="ar"/>
        </w:rPr>
        <w:t>政校企研</w:t>
      </w:r>
      <w:r>
        <w:rPr>
          <w:rFonts w:hint="eastAsia" w:ascii="仿宋_GB2312" w:hAnsi="仿宋_GB2312" w:cs="仿宋_GB2312"/>
          <w:color w:val="auto"/>
          <w:szCs w:val="32"/>
          <w:highlight w:val="none"/>
          <w:lang w:bidi="ar"/>
        </w:rPr>
        <w:t>”</w:t>
      </w:r>
      <w:r>
        <w:rPr>
          <w:rFonts w:ascii="Times New Roman" w:hAnsi="Times New Roman" w:cs="Times New Roman"/>
          <w:color w:val="auto"/>
          <w:szCs w:val="32"/>
          <w:highlight w:val="none"/>
          <w:lang w:bidi="ar"/>
        </w:rPr>
        <w:t>四位一体协同机制基本建成，人才培育体系取得重大突破，强化政策扶持、搭建成长平台、优化服务保障等重点举措持续落地，加速成为长春</w:t>
      </w:r>
      <w:r>
        <w:rPr>
          <w:rFonts w:hint="eastAsia" w:ascii="Times New Roman" w:hAnsi="Times New Roman" w:cs="Times New Roman"/>
          <w:color w:val="auto"/>
          <w:szCs w:val="32"/>
          <w:highlight w:val="none"/>
          <w:lang w:val="en-US" w:eastAsia="zh-CN" w:bidi="ar"/>
        </w:rPr>
        <w:t>现代化</w:t>
      </w:r>
      <w:r>
        <w:rPr>
          <w:rFonts w:ascii="Times New Roman" w:hAnsi="Times New Roman" w:cs="Times New Roman"/>
          <w:color w:val="auto"/>
          <w:szCs w:val="32"/>
          <w:highlight w:val="none"/>
          <w:lang w:bidi="ar"/>
        </w:rPr>
        <w:t>都市圈青年人才聚集地，为产业升级与城市发展注入强劲人才动能。</w:t>
      </w:r>
    </w:p>
    <w:p>
      <w:pPr>
        <w:pStyle w:val="19"/>
        <w:pageBreakBefore w:val="0"/>
        <w:wordWrap/>
        <w:overflowPunct/>
        <w:autoSpaceDE/>
        <w:autoSpaceDN/>
        <w:bidi w:val="0"/>
        <w:spacing w:line="530" w:lineRule="exact"/>
        <w:ind w:firstLine="643"/>
        <w:rPr>
          <w:rFonts w:hint="default" w:ascii="Times New Roman" w:hAnsi="Times New Roman" w:cs="Times New Roman"/>
          <w:b/>
          <w:bCs/>
          <w:color w:val="auto"/>
          <w:szCs w:val="32"/>
          <w:highlight w:val="none"/>
          <w:lang w:bidi="ar"/>
        </w:rPr>
      </w:pPr>
      <w:r>
        <w:rPr>
          <w:rFonts w:ascii="Times New Roman" w:hAnsi="Times New Roman" w:cs="Times New Roman"/>
          <w:b/>
          <w:bCs/>
          <w:color w:val="auto"/>
          <w:szCs w:val="32"/>
          <w:highlight w:val="none"/>
          <w:lang w:bidi="ar"/>
        </w:rPr>
        <w:t>城市设施实现由保障型向智慧型转型，打造安全智慧花园城区。</w:t>
      </w:r>
      <w:r>
        <w:rPr>
          <w:rFonts w:ascii="Times New Roman" w:hAnsi="Times New Roman" w:cs="Times New Roman"/>
          <w:color w:val="auto"/>
          <w:szCs w:val="32"/>
          <w:highlight w:val="none"/>
          <w:lang w:bidi="ar"/>
        </w:rPr>
        <w:t>城市更新、老旧小区改造、城中村建设迈上新台阶，新型城市基础设施建设取得明显进展，城市交通更加便捷畅通、供应系统更加平稳可靠、风险应对能力更加全面有效，城市运行管理智能化、精细化、科学化水平大幅提升。</w:t>
      </w:r>
    </w:p>
    <w:p>
      <w:pPr>
        <w:pStyle w:val="19"/>
        <w:pageBreakBefore w:val="0"/>
        <w:wordWrap/>
        <w:overflowPunct/>
        <w:autoSpaceDE/>
        <w:autoSpaceDN/>
        <w:bidi w:val="0"/>
        <w:spacing w:line="530" w:lineRule="exact"/>
        <w:rPr>
          <w:color w:val="auto"/>
          <w:highlight w:val="none"/>
        </w:rPr>
      </w:pPr>
      <w:r>
        <w:rPr>
          <w:color w:val="auto"/>
          <w:highlight w:val="none"/>
        </w:rPr>
        <w:t>在此基础上再奋斗五年，到</w:t>
      </w:r>
      <w:r>
        <w:rPr>
          <w:rFonts w:ascii="Times New Roman" w:hAnsi="Times New Roman"/>
          <w:b w:val="0"/>
          <w:i w:val="0"/>
          <w:color w:val="auto"/>
          <w:highlight w:val="none"/>
        </w:rPr>
        <w:t>2035</w:t>
      </w:r>
      <w:r>
        <w:rPr>
          <w:color w:val="auto"/>
          <w:highlight w:val="none"/>
        </w:rPr>
        <w:t>年，全区经济实力、科创能力、民生福祉、生态魅力、治理效能大幅跃升，人民生活更加幸福美好，基本实现社会主义现代化新绿园。</w:t>
      </w:r>
    </w:p>
    <w:p>
      <w:pPr>
        <w:pStyle w:val="4"/>
        <w:pageBreakBefore w:val="0"/>
        <w:wordWrap/>
        <w:overflowPunct/>
        <w:autoSpaceDE/>
        <w:autoSpaceDN/>
        <w:bidi w:val="0"/>
        <w:spacing w:line="530" w:lineRule="exact"/>
        <w:rPr>
          <w:color w:val="auto"/>
          <w:highlight w:val="none"/>
        </w:rPr>
      </w:pPr>
      <w:bookmarkStart w:id="81" w:name="_Toc1739289401"/>
      <w:bookmarkStart w:id="82" w:name="_Toc205400024"/>
      <w:bookmarkStart w:id="83" w:name="_Toc653590124"/>
      <w:bookmarkStart w:id="84" w:name="_Toc2141002416"/>
      <w:bookmarkStart w:id="85" w:name="_Toc1513108619"/>
      <w:r>
        <w:rPr>
          <w:color w:val="auto"/>
          <w:highlight w:val="none"/>
        </w:rPr>
        <w:t>发展路径</w:t>
      </w:r>
      <w:bookmarkEnd w:id="81"/>
      <w:bookmarkEnd w:id="82"/>
      <w:bookmarkEnd w:id="83"/>
      <w:bookmarkEnd w:id="84"/>
      <w:bookmarkEnd w:id="85"/>
    </w:p>
    <w:p>
      <w:pPr>
        <w:pStyle w:val="19"/>
        <w:pageBreakBefore w:val="0"/>
        <w:wordWrap/>
        <w:overflowPunct/>
        <w:autoSpaceDE/>
        <w:autoSpaceDN/>
        <w:bidi w:val="0"/>
        <w:spacing w:line="530" w:lineRule="exact"/>
        <w:ind w:firstLine="643"/>
        <w:rPr>
          <w:rFonts w:hint="default" w:ascii="Times New Roman" w:hAnsi="Times New Roman" w:cs="Times New Roman"/>
          <w:color w:val="auto"/>
          <w:highlight w:val="none"/>
        </w:rPr>
      </w:pPr>
      <w:r>
        <w:rPr>
          <w:rFonts w:ascii="Times New Roman" w:hAnsi="Times New Roman" w:cs="Times New Roman"/>
          <w:b/>
          <w:bCs/>
          <w:color w:val="auto"/>
          <w:szCs w:val="32"/>
          <w:highlight w:val="none"/>
          <w:lang w:bidi="ar"/>
        </w:rPr>
        <w:t>创新驱动转型，激活产业协同发展新动能。</w:t>
      </w:r>
      <w:r>
        <w:rPr>
          <w:rFonts w:ascii="Times New Roman" w:hAnsi="Times New Roman" w:cs="Times New Roman"/>
          <w:color w:val="auto"/>
          <w:szCs w:val="32"/>
          <w:highlight w:val="none"/>
          <w:lang w:bidi="ar"/>
        </w:rPr>
        <w:t>强化科技创新，推动区级科创载体建设，汇聚全市资源，聚焦新材料、无人机导航算法等关键技术，联合顶尖科研院所共建平台，推动“产学研用”融合。加速产业革新，支持轨道客车产业拓展磁悬浮、氢能源列车业务，推动汽车配套产业向新能源、新材料转型，引导肉牛精深加工产业延伸产业链，向千亿级迈进。提升服务焕新，建设智慧物流枢纽与</w:t>
      </w:r>
      <w:r>
        <w:rPr>
          <w:rFonts w:hint="eastAsia" w:cs="Times New Roman"/>
          <w:color w:val="auto"/>
          <w:szCs w:val="32"/>
          <w:highlight w:val="none"/>
          <w:lang w:eastAsia="zh-CN" w:bidi="ar"/>
        </w:rPr>
        <w:t>现代流通体系</w:t>
      </w:r>
      <w:r>
        <w:rPr>
          <w:rFonts w:ascii="Times New Roman" w:hAnsi="Times New Roman" w:cs="Times New Roman"/>
          <w:color w:val="auto"/>
          <w:szCs w:val="32"/>
          <w:highlight w:val="none"/>
          <w:lang w:bidi="ar"/>
        </w:rPr>
        <w:t>，加强养老、家政等生活性服务的配套与品质，塑造区域服务口碑。</w:t>
      </w:r>
    </w:p>
    <w:p>
      <w:pPr>
        <w:pStyle w:val="19"/>
        <w:pageBreakBefore w:val="0"/>
        <w:wordWrap/>
        <w:overflowPunct/>
        <w:autoSpaceDE/>
        <w:autoSpaceDN/>
        <w:bidi w:val="0"/>
        <w:spacing w:line="530" w:lineRule="exact"/>
        <w:ind w:firstLine="643"/>
        <w:rPr>
          <w:rFonts w:hint="default" w:ascii="Times New Roman" w:hAnsi="Times New Roman" w:cs="Times New Roman"/>
          <w:color w:val="auto"/>
          <w:highlight w:val="none"/>
        </w:rPr>
      </w:pPr>
      <w:r>
        <w:rPr>
          <w:rFonts w:ascii="Times New Roman" w:hAnsi="Times New Roman" w:cs="Times New Roman"/>
          <w:b/>
          <w:bCs/>
          <w:color w:val="auto"/>
          <w:szCs w:val="32"/>
          <w:highlight w:val="none"/>
          <w:lang w:bidi="ar"/>
        </w:rPr>
        <w:t>融汇“三生空间”，塑造城市内聚发展新结构。</w:t>
      </w:r>
      <w:r>
        <w:rPr>
          <w:rFonts w:ascii="Times New Roman" w:hAnsi="Times New Roman" w:cs="Times New Roman"/>
          <w:color w:val="auto"/>
          <w:szCs w:val="32"/>
          <w:highlight w:val="none"/>
          <w:lang w:bidi="ar"/>
        </w:rPr>
        <w:t>推动区域内河道整治和连通工程，加强景观与生态集成化涵养区域建设与活动策划，构建城区绿道体系，通过特色节点打造和周边区域联动提升城区活力。以航博城为核心载体，依托航空展国际影响力，吸引全球航空装备制造、智能航电等头部企业集聚，发展航空展览、科普研学、飞行体验等业态，形成东北亚空天文化窗口，打造航空会展文化核心。推动六个重点片区依托本区特色和产业差异化发展，形成特色功能区。</w:t>
      </w:r>
    </w:p>
    <w:p>
      <w:pPr>
        <w:pStyle w:val="19"/>
        <w:pageBreakBefore w:val="0"/>
        <w:wordWrap/>
        <w:overflowPunct/>
        <w:autoSpaceDE/>
        <w:autoSpaceDN/>
        <w:bidi w:val="0"/>
        <w:spacing w:line="530" w:lineRule="exact"/>
        <w:ind w:firstLine="643"/>
        <w:rPr>
          <w:rFonts w:hint="default" w:ascii="Times New Roman" w:hAnsi="Times New Roman" w:cs="Times New Roman"/>
          <w:color w:val="auto"/>
          <w:highlight w:val="none"/>
        </w:rPr>
      </w:pPr>
      <w:r>
        <w:rPr>
          <w:rFonts w:ascii="Times New Roman" w:hAnsi="Times New Roman" w:cs="Times New Roman"/>
          <w:b/>
          <w:bCs/>
          <w:color w:val="auto"/>
          <w:szCs w:val="32"/>
          <w:highlight w:val="none"/>
          <w:lang w:bidi="ar"/>
        </w:rPr>
        <w:t>提升人口磁力，形成青年人才集聚新形势。</w:t>
      </w:r>
      <w:r>
        <w:rPr>
          <w:rFonts w:ascii="Times New Roman" w:hAnsi="Times New Roman" w:cs="Times New Roman"/>
          <w:b w:val="0"/>
          <w:bCs w:val="0"/>
          <w:color w:val="auto"/>
          <w:szCs w:val="32"/>
          <w:highlight w:val="none"/>
          <w:lang w:bidi="ar"/>
        </w:rPr>
        <w:t>提</w:t>
      </w:r>
      <w:r>
        <w:rPr>
          <w:rFonts w:ascii="Times New Roman" w:hAnsi="Times New Roman" w:cs="Times New Roman"/>
          <w:color w:val="auto"/>
          <w:szCs w:val="32"/>
          <w:highlight w:val="none"/>
          <w:lang w:bidi="ar"/>
        </w:rPr>
        <w:t>升社区服务水平，优化“一老一小”及特殊群体服务供给，建设普惠型社区养老托育体系与综合性社区服务中心，完善分层分类社会救助，织密社会保障网。创新人才引育，成立产业人才培养联盟，定向培育航空、无人机等领域人才，加强高端人才引进保障与“西城骐骥”品牌建设。实施积极就业政策，对接产业方向开展技能培训，完善就业服务平台，帮扶困难群体就业，支持创业与灵活就业，推动更高质量充分就业。</w:t>
      </w:r>
    </w:p>
    <w:p>
      <w:pPr>
        <w:pStyle w:val="19"/>
        <w:pageBreakBefore w:val="0"/>
        <w:wordWrap/>
        <w:overflowPunct/>
        <w:autoSpaceDE/>
        <w:autoSpaceDN/>
        <w:bidi w:val="0"/>
        <w:spacing w:line="530" w:lineRule="exact"/>
        <w:rPr>
          <w:rFonts w:ascii="Times New Roman" w:hAnsi="Times New Roman" w:cs="Times New Roman"/>
          <w:color w:val="auto"/>
          <w:szCs w:val="32"/>
          <w:highlight w:val="none"/>
          <w:lang w:bidi="ar"/>
        </w:rPr>
      </w:pPr>
      <w:r>
        <w:rPr>
          <w:rFonts w:ascii="Times New Roman" w:hAnsi="Times New Roman" w:cs="Times New Roman"/>
          <w:b/>
          <w:bCs/>
          <w:color w:val="auto"/>
          <w:szCs w:val="32"/>
          <w:highlight w:val="none"/>
          <w:lang w:bidi="ar"/>
        </w:rPr>
        <w:t>智慧韧性转型，打造城市运行管理新样板。</w:t>
      </w:r>
      <w:r>
        <w:rPr>
          <w:rFonts w:ascii="Times New Roman" w:hAnsi="Times New Roman" w:cs="Times New Roman"/>
          <w:color w:val="auto"/>
          <w:szCs w:val="32"/>
          <w:highlight w:val="none"/>
          <w:lang w:bidi="ar"/>
        </w:rPr>
        <w:t>构建智能高效的城市基础设施体系。完善道路交通体系，打通断头路，加密路网，畅通重点区域交通联系。推进市政设施智能化改造，强化运行监测与大数据分析，提升安全预警与应急处置能力。搭建城市信息模型平台，推动国土、建设、管理等领域数据共享，构建城市三维数据模型，提高规划、建设与治理信息化水平。对接</w:t>
      </w:r>
      <w:r>
        <w:rPr>
          <w:rFonts w:hint="eastAsia" w:cs="Times New Roman"/>
          <w:b w:val="0"/>
          <w:i w:val="0"/>
          <w:color w:val="auto"/>
          <w:szCs w:val="32"/>
          <w:highlight w:val="none"/>
          <w:lang w:eastAsia="zh-CN" w:bidi="ar"/>
        </w:rPr>
        <w:t>吉林省</w:t>
      </w:r>
      <w:r>
        <w:rPr>
          <w:rFonts w:ascii="Times New Roman" w:hAnsi="Times New Roman" w:cs="Times New Roman"/>
          <w:color w:val="auto"/>
          <w:szCs w:val="32"/>
          <w:highlight w:val="none"/>
          <w:lang w:bidi="ar"/>
        </w:rPr>
        <w:t>“接诉即办”</w:t>
      </w:r>
      <w:r>
        <w:rPr>
          <w:rFonts w:hint="eastAsia" w:cs="Times New Roman"/>
          <w:color w:val="auto"/>
          <w:szCs w:val="32"/>
          <w:highlight w:val="none"/>
          <w:lang w:eastAsia="zh-CN" w:bidi="ar"/>
        </w:rPr>
        <w:t>智能管理</w:t>
      </w:r>
      <w:r>
        <w:rPr>
          <w:rFonts w:ascii="Times New Roman" w:hAnsi="Times New Roman" w:cs="Times New Roman"/>
          <w:color w:val="auto"/>
          <w:szCs w:val="32"/>
          <w:highlight w:val="none"/>
          <w:lang w:bidi="ar"/>
        </w:rPr>
        <w:t>平台</w:t>
      </w:r>
      <w:r>
        <w:rPr>
          <w:rFonts w:hint="eastAsia" w:cs="Times New Roman"/>
          <w:color w:val="auto"/>
          <w:szCs w:val="32"/>
          <w:highlight w:val="none"/>
          <w:lang w:eastAsia="zh-CN" w:bidi="ar"/>
        </w:rPr>
        <w:t>、长春市</w:t>
      </w:r>
      <w:r>
        <w:rPr>
          <w:rFonts w:hint="eastAsia" w:cs="Times New Roman"/>
          <w:color w:val="auto"/>
          <w:szCs w:val="32"/>
          <w:highlight w:val="none"/>
          <w:lang w:val="en-US" w:eastAsia="zh-CN" w:bidi="ar"/>
        </w:rPr>
        <w:t>12345办理平台</w:t>
      </w:r>
      <w:r>
        <w:rPr>
          <w:rFonts w:ascii="Times New Roman" w:hAnsi="Times New Roman" w:cs="Times New Roman"/>
          <w:color w:val="auto"/>
          <w:szCs w:val="32"/>
          <w:highlight w:val="none"/>
          <w:lang w:bidi="ar"/>
        </w:rPr>
        <w:t>，加强跨部门数据共享与风险监测预警，实现城市治理“一网统管”。</w:t>
      </w:r>
    </w:p>
    <w:p>
      <w:pPr>
        <w:pStyle w:val="19"/>
        <w:pageBreakBefore w:val="0"/>
        <w:wordWrap/>
        <w:overflowPunct/>
        <w:autoSpaceDE/>
        <w:autoSpaceDN/>
        <w:bidi w:val="0"/>
        <w:spacing w:line="530" w:lineRule="exact"/>
        <w:rPr>
          <w:rFonts w:ascii="Times New Roman" w:hAnsi="Times New Roman" w:cs="Times New Roman"/>
          <w:color w:val="auto"/>
          <w:szCs w:val="32"/>
          <w:highlight w:val="none"/>
          <w:lang w:bidi="ar"/>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ascii="Times New Roman" w:hAnsi="Times New Roman" w:eastAsia="楷体_GB2312" w:cs="Times New Roman"/>
          <w:color w:val="auto"/>
          <w:sz w:val="28"/>
          <w:szCs w:val="36"/>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0"/>
        <w:jc w:val="center"/>
        <w:textAlignment w:val="auto"/>
        <w:rPr>
          <w:rFonts w:hint="eastAsia" w:ascii="Times New Roman" w:hAnsi="Times New Roman" w:eastAsia="楷体_GB2312" w:cs="Times New Roman"/>
          <w:color w:val="auto"/>
          <w:sz w:val="28"/>
          <w:szCs w:val="36"/>
          <w:highlight w:val="none"/>
          <w:lang w:eastAsia="zh-CN"/>
        </w:rPr>
      </w:pPr>
      <w:r>
        <w:rPr>
          <w:rFonts w:ascii="Times New Roman" w:hAnsi="Times New Roman" w:eastAsia="楷体_GB2312" w:cs="Times New Roman"/>
          <w:color w:val="auto"/>
          <w:sz w:val="28"/>
          <w:szCs w:val="36"/>
          <w:highlight w:val="none"/>
        </w:rPr>
        <w:t>表</w:t>
      </w:r>
      <w:r>
        <w:rPr>
          <w:rFonts w:hint="eastAsia" w:ascii="Times New Roman" w:hAnsi="Times New Roman" w:eastAsia="楷体_GB2312" w:cs="Times New Roman"/>
          <w:b w:val="0"/>
          <w:i w:val="0"/>
          <w:color w:val="auto"/>
          <w:sz w:val="28"/>
          <w:szCs w:val="36"/>
          <w:highlight w:val="none"/>
          <w:lang w:val="en-US" w:eastAsia="zh-CN"/>
        </w:rPr>
        <w:t>1</w:t>
      </w:r>
      <w:r>
        <w:rPr>
          <w:rFonts w:ascii="Times New Roman" w:hAnsi="Times New Roman" w:eastAsia="楷体_GB2312" w:cs="Times New Roman"/>
          <w:color w:val="auto"/>
          <w:sz w:val="28"/>
          <w:szCs w:val="36"/>
          <w:highlight w:val="none"/>
        </w:rPr>
        <w:t xml:space="preserve">  </w:t>
      </w:r>
      <w:r>
        <w:rPr>
          <w:rFonts w:hint="eastAsia" w:ascii="Times New Roman" w:hAnsi="Times New Roman" w:eastAsia="楷体_GB2312" w:cs="Times New Roman"/>
          <w:color w:val="auto"/>
          <w:sz w:val="28"/>
          <w:szCs w:val="36"/>
          <w:highlight w:val="none"/>
        </w:rPr>
        <w:t>绿园区“十五五”</w:t>
      </w:r>
      <w:r>
        <w:rPr>
          <w:rFonts w:hint="eastAsia" w:ascii="Times New Roman" w:hAnsi="Times New Roman" w:eastAsia="楷体_GB2312" w:cs="Times New Roman"/>
          <w:color w:val="auto"/>
          <w:sz w:val="28"/>
          <w:szCs w:val="36"/>
          <w:highlight w:val="none"/>
          <w:lang w:eastAsia="zh-CN"/>
        </w:rPr>
        <w:t>时期经济社会发展主要指标</w:t>
      </w:r>
    </w:p>
    <w:tbl>
      <w:tblPr>
        <w:tblStyle w:val="14"/>
        <w:tblW w:w="5848" w:type="pct"/>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643"/>
        <w:gridCol w:w="1543"/>
        <w:gridCol w:w="2122"/>
        <w:gridCol w:w="1304"/>
        <w:gridCol w:w="1304"/>
        <w:gridCol w:w="130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类别</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指标</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2025</w:t>
            </w:r>
            <w:r>
              <w:rPr>
                <w:rFonts w:hint="eastAsia" w:ascii="黑体" w:hAnsi="黑体" w:eastAsia="黑体" w:cs="黑体"/>
                <w:b w:val="0"/>
                <w:bCs w:val="0"/>
                <w:i w:val="0"/>
                <w:iCs w:val="0"/>
                <w:color w:val="000000"/>
                <w:kern w:val="0"/>
                <w:sz w:val="24"/>
                <w:szCs w:val="24"/>
                <w:highlight w:val="none"/>
                <w:u w:val="none"/>
                <w:lang w:val="en-US" w:eastAsia="zh-CN" w:bidi="ar"/>
              </w:rPr>
              <w:t>年</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2030</w:t>
            </w:r>
            <w:r>
              <w:rPr>
                <w:rFonts w:hint="eastAsia" w:ascii="黑体" w:hAnsi="黑体" w:eastAsia="黑体" w:cs="黑体"/>
                <w:b w:val="0"/>
                <w:bCs w:val="0"/>
                <w:i w:val="0"/>
                <w:iCs w:val="0"/>
                <w:color w:val="000000"/>
                <w:kern w:val="0"/>
                <w:sz w:val="24"/>
                <w:szCs w:val="24"/>
                <w:highlight w:val="none"/>
                <w:u w:val="none"/>
                <w:lang w:val="en-US" w:eastAsia="zh-CN" w:bidi="ar"/>
              </w:rPr>
              <w:t>年</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年均/累计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经济</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发展</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地区生产总值（GDP）增长（%）</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5.5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5以上</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2</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▲工业增加值增长（%）</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10.5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高于GDP增长</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3</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▲区本级留用收入增长（%）</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14.4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与GDP增长同步</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创新</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驱动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4</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每百万人口发明专利授权量（件）</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6235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8000</w:t>
            </w:r>
            <w:r>
              <w:rPr>
                <w:rFonts w:hint="eastAsia" w:ascii="仿宋" w:hAnsi="仿宋" w:eastAsia="仿宋" w:cs="仿宋"/>
                <w:i w:val="0"/>
                <w:iCs w:val="0"/>
                <w:color w:val="000000"/>
                <w:kern w:val="0"/>
                <w:sz w:val="24"/>
                <w:szCs w:val="24"/>
                <w:highlight w:val="none"/>
                <w:u w:val="none"/>
                <w:lang w:val="en-US" w:eastAsia="zh-CN" w:bidi="ar"/>
              </w:rPr>
              <w:t>左右</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5</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▲科技成果转化数量（项）</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[超50]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绿色</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低碳</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6</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单位GDP二氧化碳排放降低（%）</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[完成经市审核衔接后确定的目标]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7</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非化石能源占能源消费总量比重（%）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2"/>
                <w:szCs w:val="22"/>
                <w:highlight w:val="none"/>
                <w:u w:val="none"/>
                <w:lang w:val="en-US" w:eastAsia="zh-CN" w:bidi="ar"/>
              </w:rPr>
              <w:t>完成经市审核衔接后确定的目标</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8</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城市细颗粒物（PM2.5）浓度（微克/立方米）</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9</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优良水体比例（%）</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2"/>
                <w:szCs w:val="22"/>
                <w:highlight w:val="none"/>
                <w:u w:val="none"/>
                <w:lang w:eastAsia="zh-CN"/>
              </w:rPr>
              <w:t>达到市级要求</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10</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630"/>
              </w:tabs>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森林覆盖率（%）</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3.54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4</w:t>
            </w:r>
            <w:r>
              <w:rPr>
                <w:rFonts w:hint="eastAsia" w:ascii="Times New Roman" w:hAnsi="Times New Roman" w:eastAsia="仿宋" w:cs="Times New Roman"/>
                <w:i w:val="0"/>
                <w:iCs w:val="0"/>
                <w:color w:val="000000"/>
                <w:kern w:val="0"/>
                <w:sz w:val="24"/>
                <w:szCs w:val="24"/>
                <w:highlight w:val="none"/>
                <w:u w:val="none"/>
                <w:lang w:val="en-US" w:eastAsia="zh-CN" w:bidi="ar"/>
              </w:rPr>
              <w:t>.65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11</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▲城市空气质量优良天数比例（%）</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&gt;85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＞90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nil"/>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民生</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福祉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12</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劳动年龄人口平均受教育年限（年）</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2"/>
                <w:szCs w:val="22"/>
                <w:highlight w:val="none"/>
                <w:u w:val="none"/>
                <w:lang w:eastAsia="zh-CN"/>
              </w:rPr>
              <w:t>达到市级要求</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13</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每千人口拥有医护人员数</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执业医师数（人）</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3.55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3.7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i w:val="0"/>
                <w:iCs w:val="0"/>
                <w:color w:val="000000"/>
                <w:sz w:val="24"/>
                <w:szCs w:val="24"/>
                <w:highlight w:val="none"/>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注册护士数（人）</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5.6</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5.7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eastAsia" w:ascii="Times New Roman" w:hAnsi="Times New Roman" w:eastAsia="仿宋" w:cs="Times New Roman"/>
                <w:i w:val="0"/>
                <w:iCs w:val="0"/>
                <w:color w:val="000000"/>
                <w:sz w:val="24"/>
                <w:szCs w:val="24"/>
                <w:highlight w:val="none"/>
                <w:u w:val="none"/>
                <w:lang w:val="en-US" w:eastAsia="zh-CN"/>
              </w:rPr>
              <w:t>14</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养老机构护理型床位占比（%）</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55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58</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eastAsia" w:ascii="Times New Roman" w:hAnsi="Times New Roman" w:eastAsia="仿宋" w:cs="Times New Roman"/>
                <w:i w:val="0"/>
                <w:iCs w:val="0"/>
                <w:color w:val="000000"/>
                <w:sz w:val="24"/>
                <w:szCs w:val="24"/>
                <w:highlight w:val="none"/>
                <w:u w:val="none"/>
                <w:lang w:val="en-US" w:eastAsia="zh-CN"/>
              </w:rPr>
              <w:t>15</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3岁以下婴幼儿入托率提高（百分点）</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[3.4]</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eastAsia" w:ascii="Times New Roman" w:hAnsi="Times New Roman" w:eastAsia="仿宋" w:cs="Times New Roman"/>
                <w:i w:val="0"/>
                <w:iCs w:val="0"/>
                <w:color w:val="000000"/>
                <w:sz w:val="24"/>
                <w:szCs w:val="24"/>
                <w:highlight w:val="none"/>
                <w:u w:val="none"/>
                <w:lang w:val="en-US" w:eastAsia="zh-CN"/>
              </w:rPr>
              <w:t>16</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人均预期寿命（岁）</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&gt;79</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＞80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b/>
                <w:bCs/>
                <w:i w:val="0"/>
                <w:iCs w:val="0"/>
                <w:color w:val="000000"/>
                <w:sz w:val="24"/>
                <w:szCs w:val="24"/>
                <w:highlight w:val="none"/>
                <w:u w:val="none"/>
              </w:rPr>
            </w:pPr>
          </w:p>
        </w:tc>
        <w:tc>
          <w:tcPr>
            <w:tcW w:w="32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eastAsia" w:ascii="Times New Roman" w:hAnsi="Times New Roman" w:eastAsia="仿宋" w:cs="Times New Roman"/>
                <w:i w:val="0"/>
                <w:iCs w:val="0"/>
                <w:color w:val="000000"/>
                <w:sz w:val="24"/>
                <w:szCs w:val="24"/>
                <w:highlight w:val="none"/>
                <w:u w:val="none"/>
                <w:lang w:val="en-US" w:eastAsia="zh-CN"/>
              </w:rPr>
              <w:t>17</w:t>
            </w:r>
          </w:p>
        </w:tc>
        <w:tc>
          <w:tcPr>
            <w:tcW w:w="183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▲退役军人（下岗志愿兵）工作岗位安置（人）</w:t>
            </w:r>
          </w:p>
        </w:tc>
        <w:tc>
          <w:tcPr>
            <w:tcW w:w="654"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11</w:t>
            </w:r>
          </w:p>
        </w:tc>
        <w:tc>
          <w:tcPr>
            <w:tcW w:w="654"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43</w:t>
            </w:r>
          </w:p>
        </w:tc>
        <w:tc>
          <w:tcPr>
            <w:tcW w:w="654"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安全</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保障</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18</w:t>
            </w:r>
          </w:p>
        </w:tc>
        <w:tc>
          <w:tcPr>
            <w:tcW w:w="183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粮食综合生产能力（亿斤）</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1.2</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lang w:val="en-US"/>
              </w:rPr>
            </w:pPr>
            <w:r>
              <w:rPr>
                <w:rFonts w:hint="default" w:ascii="Times New Roman" w:hAnsi="Times New Roman" w:eastAsia="仿宋" w:cs="Times New Roman"/>
                <w:i w:val="0"/>
                <w:iCs w:val="0"/>
                <w:color w:val="000000"/>
                <w:kern w:val="0"/>
                <w:sz w:val="24"/>
                <w:szCs w:val="24"/>
                <w:highlight w:val="none"/>
                <w:u w:val="none"/>
                <w:lang w:val="en-US" w:eastAsia="zh-CN" w:bidi="ar"/>
              </w:rPr>
              <w:t>1.4</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000000"/>
                <w:sz w:val="24"/>
                <w:szCs w:val="24"/>
                <w:highlight w:val="none"/>
                <w:u w:val="none"/>
              </w:rPr>
            </w:pP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iCs w:val="0"/>
                <w:color w:val="000000"/>
                <w:sz w:val="24"/>
                <w:szCs w:val="24"/>
                <w:highlight w:val="none"/>
                <w:u w:val="none"/>
                <w:lang w:val="en-US" w:eastAsia="zh-CN"/>
              </w:rPr>
            </w:pPr>
            <w:r>
              <w:rPr>
                <w:rFonts w:hint="eastAsia" w:ascii="Times New Roman" w:hAnsi="Times New Roman" w:eastAsia="仿宋" w:cs="Times New Roman"/>
                <w:i w:val="0"/>
                <w:iCs w:val="0"/>
                <w:color w:val="000000"/>
                <w:sz w:val="24"/>
                <w:szCs w:val="24"/>
                <w:highlight w:val="none"/>
                <w:u w:val="none"/>
                <w:lang w:val="en-US" w:eastAsia="zh-CN"/>
              </w:rPr>
              <w:t>19</w:t>
            </w:r>
          </w:p>
        </w:tc>
        <w:tc>
          <w:tcPr>
            <w:tcW w:w="183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能源综合生产能力（万吨标准煤）</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2"/>
                <w:szCs w:val="22"/>
                <w:highlight w:val="none"/>
                <w:u w:val="none"/>
                <w:lang w:eastAsia="zh-CN"/>
              </w:rPr>
              <w:t>达到市级要求</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51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8"/>
            <w:tcBorders>
              <w:top w:val="single" w:color="auto" w:sz="4" w:space="0"/>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bookmarkStart w:id="86" w:name="_Toc565169923"/>
            <w:bookmarkStart w:id="87" w:name="_Toc1091196867"/>
            <w:bookmarkStart w:id="88" w:name="_Toc1903712854"/>
            <w:bookmarkStart w:id="89" w:name="_Toc652045520"/>
            <w:bookmarkStart w:id="90" w:name="_Toc830455450"/>
            <w:bookmarkStart w:id="91" w:name="_Toc1607160689"/>
            <w:bookmarkStart w:id="92" w:name="_Toc2069360011"/>
            <w:bookmarkStart w:id="93" w:name="_Toc450574450"/>
            <w:r>
              <w:rPr>
                <w:rFonts w:hint="eastAsia" w:ascii="仿宋" w:hAnsi="仿宋" w:eastAsia="仿宋" w:cs="仿宋"/>
                <w:i w:val="0"/>
                <w:iCs w:val="0"/>
                <w:color w:val="000000"/>
                <w:kern w:val="0"/>
                <w:sz w:val="24"/>
                <w:szCs w:val="24"/>
                <w:highlight w:val="none"/>
                <w:u w:val="none"/>
                <w:lang w:val="en-US" w:eastAsia="zh-CN" w:bidi="ar"/>
              </w:rPr>
              <w:t>注：1.[]内为5年累计数。2.标▲为我区特色指标，其余为国家“十五五”规划指标。</w:t>
            </w:r>
          </w:p>
        </w:tc>
      </w:tr>
    </w:tbl>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lang w:eastAsia="zh-CN"/>
        </w:rPr>
      </w:pPr>
      <w:r>
        <w:rPr>
          <w:rFonts w:hint="eastAsia" w:ascii="方正小标宋简体" w:hAnsi="方正小标宋简体" w:eastAsia="方正小标宋简体" w:cs="方正小标宋简体"/>
          <w:color w:val="auto"/>
          <w:highlight w:val="none"/>
          <w:lang w:eastAsia="zh-CN"/>
        </w:rPr>
        <w:t>筑牢</w:t>
      </w:r>
      <w:r>
        <w:rPr>
          <w:rFonts w:hint="eastAsia" w:ascii="方正小标宋简体" w:hAnsi="方正小标宋简体" w:eastAsia="方正小标宋简体" w:cs="方正小标宋简体"/>
          <w:color w:val="auto"/>
          <w:highlight w:val="none"/>
        </w:rPr>
        <w:t>发展空间基底，着力优化区域发展布局</w:t>
      </w:r>
      <w:bookmarkEnd w:id="86"/>
      <w:bookmarkEnd w:id="87"/>
      <w:bookmarkEnd w:id="88"/>
      <w:bookmarkEnd w:id="89"/>
      <w:bookmarkEnd w:id="90"/>
      <w:bookmarkEnd w:id="91"/>
      <w:bookmarkEnd w:id="92"/>
      <w:bookmarkEnd w:id="93"/>
    </w:p>
    <w:p>
      <w:pPr>
        <w:pStyle w:val="19"/>
        <w:pageBreakBefore w:val="0"/>
        <w:wordWrap/>
        <w:overflowPunct/>
        <w:autoSpaceDE/>
        <w:autoSpaceDN/>
        <w:bidi w:val="0"/>
        <w:spacing w:line="530" w:lineRule="exact"/>
        <w:rPr>
          <w:rFonts w:hint="eastAsia"/>
          <w:color w:val="auto"/>
          <w:highlight w:val="none"/>
          <w:lang w:eastAsia="zh-CN"/>
        </w:rPr>
      </w:pPr>
      <w:r>
        <w:rPr>
          <w:color w:val="auto"/>
          <w:highlight w:val="none"/>
        </w:rPr>
        <w:t>锚定长春现代化都市圈发展契机，聚焦物流体系建设，筑牢都市圈供应链体系，打造都市圈对外开放枢纽，立足产业升级需求，推动区域产业合作、通道建设和公共服务平台搭建，构建“</w:t>
      </w:r>
      <w:r>
        <w:rPr>
          <w:rFonts w:hint="eastAsia"/>
          <w:color w:val="auto"/>
          <w:highlight w:val="none"/>
          <w:lang w:val="en-US" w:eastAsia="zh-CN"/>
        </w:rPr>
        <w:t>一城六</w:t>
      </w:r>
      <w:r>
        <w:rPr>
          <w:color w:val="auto"/>
          <w:highlight w:val="none"/>
        </w:rPr>
        <w:t>区”的空间发展新格局，以</w:t>
      </w:r>
      <w:r>
        <w:rPr>
          <w:rFonts w:hint="eastAsia"/>
          <w:color w:val="auto"/>
          <w:highlight w:val="none"/>
          <w:lang w:val="en-US" w:eastAsia="zh-CN"/>
        </w:rPr>
        <w:t>航博</w:t>
      </w:r>
      <w:r>
        <w:rPr>
          <w:color w:val="auto"/>
          <w:highlight w:val="none"/>
        </w:rPr>
        <w:t>城</w:t>
      </w:r>
      <w:r>
        <w:rPr>
          <w:rFonts w:hint="eastAsia"/>
          <w:color w:val="auto"/>
          <w:highlight w:val="none"/>
          <w:lang w:val="en-US" w:eastAsia="zh-CN"/>
        </w:rPr>
        <w:t>为核心引擎</w:t>
      </w:r>
      <w:r>
        <w:rPr>
          <w:color w:val="auto"/>
          <w:highlight w:val="none"/>
        </w:rPr>
        <w:t>，推动</w:t>
      </w:r>
      <w:r>
        <w:rPr>
          <w:rFonts w:hint="eastAsia"/>
          <w:color w:val="auto"/>
          <w:highlight w:val="none"/>
          <w:lang w:val="en-US" w:eastAsia="zh-CN"/>
        </w:rPr>
        <w:t>六</w:t>
      </w:r>
      <w:r>
        <w:rPr>
          <w:color w:val="auto"/>
          <w:highlight w:val="none"/>
        </w:rPr>
        <w:t>大功能片区联动发展，构建集约化、内涵式发展新格局。</w:t>
      </w:r>
    </w:p>
    <w:p>
      <w:pPr>
        <w:pStyle w:val="3"/>
        <w:pageBreakBefore w:val="0"/>
        <w:wordWrap/>
        <w:overflowPunct/>
        <w:autoSpaceDE/>
        <w:autoSpaceDN/>
        <w:bidi w:val="0"/>
        <w:spacing w:line="530" w:lineRule="exact"/>
        <w:rPr>
          <w:rFonts w:hint="eastAsia"/>
          <w:color w:val="auto"/>
          <w:highlight w:val="none"/>
        </w:rPr>
      </w:pPr>
      <w:bookmarkStart w:id="94" w:name="_Toc343080525"/>
      <w:bookmarkStart w:id="95" w:name="_Toc777441828"/>
      <w:bookmarkStart w:id="96" w:name="_Toc490725180"/>
      <w:bookmarkStart w:id="97" w:name="_Toc1236041712"/>
      <w:bookmarkStart w:id="98" w:name="_Toc968526297"/>
      <w:bookmarkStart w:id="99" w:name="_Toc235398289"/>
      <w:bookmarkStart w:id="100" w:name="_Toc320003999"/>
      <w:bookmarkStart w:id="101" w:name="_Toc500388057"/>
      <w:r>
        <w:rPr>
          <w:rFonts w:hint="eastAsia"/>
          <w:color w:val="auto"/>
          <w:highlight w:val="none"/>
        </w:rPr>
        <w:t>服务支撑长春现代化都市圈</w:t>
      </w:r>
      <w:bookmarkEnd w:id="94"/>
      <w:bookmarkEnd w:id="95"/>
      <w:bookmarkEnd w:id="96"/>
      <w:bookmarkEnd w:id="97"/>
      <w:bookmarkEnd w:id="98"/>
      <w:bookmarkEnd w:id="99"/>
      <w:bookmarkEnd w:id="100"/>
      <w:bookmarkEnd w:id="101"/>
    </w:p>
    <w:p>
      <w:pPr>
        <w:pStyle w:val="4"/>
        <w:pageBreakBefore w:val="0"/>
        <w:wordWrap/>
        <w:overflowPunct/>
        <w:autoSpaceDE/>
        <w:autoSpaceDN/>
        <w:bidi w:val="0"/>
        <w:spacing w:line="530" w:lineRule="exact"/>
        <w:rPr>
          <w:color w:val="auto"/>
          <w:highlight w:val="none"/>
        </w:rPr>
      </w:pPr>
      <w:bookmarkStart w:id="102" w:name="_Toc476112347"/>
      <w:bookmarkStart w:id="103" w:name="_Toc1174294848"/>
      <w:bookmarkStart w:id="104" w:name="_Toc1280895780"/>
      <w:bookmarkStart w:id="105" w:name="_Toc1543736153"/>
      <w:r>
        <w:rPr>
          <w:rFonts w:hint="eastAsia"/>
          <w:color w:val="auto"/>
          <w:highlight w:val="none"/>
        </w:rPr>
        <w:t>打造对外开放枢纽</w:t>
      </w:r>
      <w:bookmarkEnd w:id="102"/>
      <w:bookmarkEnd w:id="103"/>
      <w:bookmarkEnd w:id="104"/>
      <w:bookmarkEnd w:id="10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推进物流枢纽建设。</w:t>
      </w:r>
      <w:r>
        <w:rPr>
          <w:rFonts w:ascii="Times New Roman" w:hAnsi="Times New Roman" w:cs="Times New Roman"/>
          <w:color w:val="auto"/>
          <w:szCs w:val="32"/>
          <w:highlight w:val="none"/>
        </w:rPr>
        <w:t>聚焦生产服务型物流枢纽建设，围绕全市轨道客车整车系统集成及汽车配套需求，精准布局专业化仓储物流区域，重点提升整车及零部件物流能力，为都市圈先进制造业提供高效供应链保障。升级商贸服务型物流枢纽，加快省级冷链物流基地建设，以中机物流园与海吉星物流中心为核心载体，</w:t>
      </w:r>
      <w:r>
        <w:rPr>
          <w:color w:val="auto"/>
          <w:highlight w:val="none"/>
        </w:rPr>
        <w:t>推动物流中心检验检疫能力建设，完善恒温库等冷链物流设施及信息化平台建设，促进冷链物流基地与现代农业、冷链产品加工、商贸流通等产业协调融合发展，重</w:t>
      </w:r>
      <w:r>
        <w:rPr>
          <w:rFonts w:ascii="Times New Roman" w:hAnsi="Times New Roman" w:cs="Times New Roman"/>
          <w:color w:val="auto"/>
          <w:szCs w:val="32"/>
          <w:highlight w:val="none"/>
        </w:rPr>
        <w:t>点发展农产品批发、农机装备、食品冷链、分拨配送及大宗商品电子交易，形成安全稳定的商贸物流</w:t>
      </w:r>
      <w:r>
        <w:rPr>
          <w:color w:val="auto"/>
          <w:szCs w:val="32"/>
          <w:highlight w:val="none"/>
        </w:rPr>
        <w:t>网络</w:t>
      </w:r>
      <w:r>
        <w:rPr>
          <w:rFonts w:ascii="Times New Roman" w:hAnsi="Times New Roman" w:cs="Times New Roman"/>
          <w:color w:val="auto"/>
          <w:szCs w:val="32"/>
          <w:highlight w:val="none"/>
        </w:rPr>
        <w:t>。强化物流枢纽辐射能力，对接</w:t>
      </w:r>
      <w:r>
        <w:rPr>
          <w:rFonts w:hint="eastAsia" w:ascii="Times New Roman" w:hAnsi="Times New Roman" w:cs="Times New Roman"/>
          <w:color w:val="auto"/>
          <w:szCs w:val="32"/>
          <w:highlight w:val="none"/>
          <w:lang w:val="en-US" w:eastAsia="zh-CN"/>
        </w:rPr>
        <w:t>长春现代化</w:t>
      </w:r>
      <w:r>
        <w:rPr>
          <w:rFonts w:ascii="Times New Roman" w:hAnsi="Times New Roman" w:cs="Times New Roman"/>
          <w:color w:val="auto"/>
          <w:szCs w:val="32"/>
          <w:highlight w:val="none"/>
        </w:rPr>
        <w:t>都市圈城市，共享海吉星冷链物流资源与检验检测服务，推动跨区域农产品流通协作。推动绿园区物流枢纽与兴隆综保区、临空物流港功能联动，助力都市圈物流一体化发展。</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畅通综合运输通道。</w:t>
      </w:r>
      <w:r>
        <w:rPr>
          <w:rFonts w:ascii="Times New Roman" w:hAnsi="Times New Roman" w:cs="Times New Roman"/>
          <w:color w:val="auto"/>
          <w:szCs w:val="32"/>
          <w:highlight w:val="none"/>
        </w:rPr>
        <w:t>优化公路通道网络，围绕长春现代化都市圈“四环十一射”公路骨架网建设，推进长太高速公路连接线（一期）建设，加快推动长白公路扩建工程。</w:t>
      </w:r>
      <w:r>
        <w:rPr>
          <w:rStyle w:val="28"/>
          <w:color w:val="auto"/>
          <w:highlight w:val="none"/>
        </w:rPr>
        <w:t>依托长春市轨道交通</w:t>
      </w:r>
      <w:r>
        <w:rPr>
          <w:rStyle w:val="28"/>
          <w:b w:val="0"/>
          <w:i w:val="0"/>
          <w:color w:val="auto"/>
          <w:highlight w:val="none"/>
        </w:rPr>
        <w:t>相关</w:t>
      </w:r>
      <w:r>
        <w:rPr>
          <w:rFonts w:ascii="Times New Roman" w:hAnsi="Times New Roman" w:cs="Times New Roman"/>
          <w:color w:val="auto"/>
          <w:szCs w:val="32"/>
          <w:highlight w:val="none"/>
        </w:rPr>
        <w:t>规划建设，推动</w:t>
      </w:r>
      <w:r>
        <w:rPr>
          <w:rFonts w:hint="eastAsia" w:cs="Times New Roman"/>
          <w:color w:val="auto"/>
          <w:szCs w:val="32"/>
          <w:highlight w:val="none"/>
          <w:lang w:eastAsia="zh-CN"/>
        </w:rPr>
        <w:t>相关</w:t>
      </w:r>
      <w:r>
        <w:rPr>
          <w:rFonts w:ascii="Times New Roman" w:hAnsi="Times New Roman" w:cs="Times New Roman"/>
          <w:color w:val="auto"/>
          <w:szCs w:val="32"/>
          <w:highlight w:val="none"/>
        </w:rPr>
        <w:t>支线与现有</w:t>
      </w:r>
      <w:r>
        <w:rPr>
          <w:rFonts w:ascii="Times New Roman" w:hAnsi="Times New Roman" w:cs="Times New Roman"/>
          <w:b w:val="0"/>
          <w:i w:val="0"/>
          <w:color w:val="auto"/>
          <w:szCs w:val="32"/>
          <w:highlight w:val="none"/>
        </w:rPr>
        <w:t>2</w:t>
      </w:r>
      <w:r>
        <w:rPr>
          <w:rFonts w:ascii="Times New Roman" w:hAnsi="Times New Roman" w:cs="Times New Roman"/>
          <w:color w:val="auto"/>
          <w:szCs w:val="32"/>
          <w:highlight w:val="none"/>
        </w:rPr>
        <w:t>号线、</w:t>
      </w:r>
      <w:r>
        <w:rPr>
          <w:rFonts w:ascii="Times New Roman" w:hAnsi="Times New Roman" w:cs="Times New Roman"/>
          <w:b w:val="0"/>
          <w:i w:val="0"/>
          <w:color w:val="auto"/>
          <w:szCs w:val="32"/>
          <w:highlight w:val="none"/>
        </w:rPr>
        <w:t>6</w:t>
      </w:r>
      <w:r>
        <w:rPr>
          <w:rFonts w:ascii="Times New Roman" w:hAnsi="Times New Roman" w:cs="Times New Roman"/>
          <w:color w:val="auto"/>
          <w:szCs w:val="32"/>
          <w:highlight w:val="none"/>
        </w:rPr>
        <w:t>号线</w:t>
      </w:r>
      <w:r>
        <w:rPr>
          <w:rFonts w:hint="eastAsia" w:ascii="Times New Roman" w:hAnsi="Times New Roman" w:cs="Times New Roman"/>
          <w:color w:val="auto"/>
          <w:szCs w:val="32"/>
          <w:highlight w:val="none"/>
          <w:lang w:val="en-US" w:eastAsia="zh-CN"/>
        </w:rPr>
        <w:t>连</w:t>
      </w:r>
      <w:r>
        <w:rPr>
          <w:rFonts w:ascii="Times New Roman" w:hAnsi="Times New Roman" w:cs="Times New Roman"/>
          <w:color w:val="auto"/>
          <w:szCs w:val="32"/>
          <w:highlight w:val="none"/>
        </w:rPr>
        <w:t>通，实现绿园区至长春主城区及周边组团</w:t>
      </w:r>
      <w:r>
        <w:rPr>
          <w:rFonts w:ascii="Times New Roman" w:hAnsi="Times New Roman" w:cs="Times New Roman"/>
          <w:b w:val="0"/>
          <w:i w:val="0"/>
          <w:color w:val="auto"/>
          <w:szCs w:val="32"/>
          <w:highlight w:val="none"/>
        </w:rPr>
        <w:t>30</w:t>
      </w:r>
      <w:r>
        <w:rPr>
          <w:rFonts w:ascii="Times New Roman" w:hAnsi="Times New Roman" w:cs="Times New Roman"/>
          <w:color w:val="auto"/>
          <w:szCs w:val="32"/>
          <w:highlight w:val="none"/>
        </w:rPr>
        <w:t>分钟轨道交通通勤覆盖。深化航空通道联动，积极推动航博城至龙嘉国际机场直达公交线路及定制客运线路开通，实现两地交通接驳</w:t>
      </w:r>
      <w:r>
        <w:rPr>
          <w:rFonts w:ascii="Times New Roman" w:hAnsi="Times New Roman" w:cs="Times New Roman"/>
          <w:b w:val="0"/>
          <w:i w:val="0"/>
          <w:color w:val="auto"/>
          <w:szCs w:val="32"/>
          <w:highlight w:val="none"/>
        </w:rPr>
        <w:t>1</w:t>
      </w:r>
      <w:r>
        <w:rPr>
          <w:rFonts w:ascii="Times New Roman" w:hAnsi="Times New Roman" w:cs="Times New Roman"/>
          <w:color w:val="auto"/>
          <w:szCs w:val="32"/>
          <w:highlight w:val="none"/>
        </w:rPr>
        <w:t>小时</w:t>
      </w:r>
      <w:r>
        <w:rPr>
          <w:rFonts w:hint="eastAsia" w:ascii="Times New Roman" w:hAnsi="Times New Roman" w:cs="Times New Roman"/>
          <w:color w:val="auto"/>
          <w:szCs w:val="32"/>
          <w:highlight w:val="none"/>
          <w:lang w:val="en-US" w:eastAsia="zh-CN"/>
        </w:rPr>
        <w:t>内直达</w:t>
      </w:r>
      <w:r>
        <w:rPr>
          <w:rFonts w:ascii="Times New Roman" w:hAnsi="Times New Roman" w:cs="Times New Roman"/>
          <w:color w:val="auto"/>
          <w:szCs w:val="32"/>
          <w:highlight w:val="none"/>
        </w:rPr>
        <w:t>。主动对接龙嘉国际机场三期扩建工程货运设施，依托长春临空物流港，建立绿园区高端装备、优质农产品的航空运输对接机制。</w:t>
      </w:r>
    </w:p>
    <w:p>
      <w:pPr>
        <w:pStyle w:val="19"/>
        <w:pageBreakBefore w:val="0"/>
        <w:wordWrap/>
        <w:overflowPunct/>
        <w:autoSpaceDE/>
        <w:autoSpaceDN/>
        <w:bidi w:val="0"/>
        <w:spacing w:line="530" w:lineRule="exact"/>
        <w:rPr>
          <w:rFonts w:ascii="Times New Roman" w:hAnsi="Times New Roman" w:cs="Times New Roman"/>
          <w:color w:val="auto"/>
          <w:szCs w:val="32"/>
          <w:highlight w:val="none"/>
        </w:rPr>
      </w:pPr>
      <w:r>
        <w:rPr>
          <w:rFonts w:ascii="Times New Roman" w:hAnsi="Times New Roman" w:cs="Times New Roman"/>
          <w:b/>
          <w:bCs/>
          <w:color w:val="auto"/>
          <w:szCs w:val="32"/>
          <w:highlight w:val="none"/>
        </w:rPr>
        <w:t>构建物流网络体系。</w:t>
      </w:r>
      <w:r>
        <w:rPr>
          <w:color w:val="auto"/>
          <w:szCs w:val="32"/>
          <w:highlight w:val="none"/>
        </w:rPr>
        <w:t>搭建一体化物流信息平台</w:t>
      </w:r>
      <w:r>
        <w:rPr>
          <w:rFonts w:ascii="Times New Roman" w:hAnsi="Times New Roman" w:cs="Times New Roman"/>
          <w:color w:val="auto"/>
          <w:szCs w:val="32"/>
          <w:highlight w:val="none"/>
        </w:rPr>
        <w:t>，推进绿园区物流体系信息化水平提升，整合海吉星物流中心、中机物流园等节点数据，在冷链、商贸、生产物流等领域为企业提供智慧供应链服务。推动本区物流信息与都市圈城市工商、税务、海关等部门数据共享，实现货物流转轨迹实时追踪、物流需求智能匹配，打破区域信息孤岛，提升物流调度效率。完善城乡一体化配送网络，以海吉星物流中心为核心仓，推动向周边区域布局区域分拨仓，并推进城区末端服务网点建设，打造“中心仓</w:t>
      </w:r>
      <w:r>
        <w:rPr>
          <w:rFonts w:hint="eastAsia" w:ascii="Times New Roman" w:hAnsi="Times New Roman" w:cs="Times New Roman"/>
          <w:b w:val="0"/>
          <w:i w:val="0"/>
          <w:color w:val="auto"/>
          <w:szCs w:val="32"/>
          <w:highlight w:val="none"/>
          <w:lang w:eastAsia="zh-CN"/>
        </w:rPr>
        <w:t>―</w:t>
      </w:r>
      <w:r>
        <w:rPr>
          <w:rFonts w:ascii="Times New Roman" w:hAnsi="Times New Roman" w:cs="Times New Roman"/>
          <w:color w:val="auto"/>
          <w:szCs w:val="32"/>
          <w:highlight w:val="none"/>
        </w:rPr>
        <w:t>分拨仓</w:t>
      </w:r>
      <w:r>
        <w:rPr>
          <w:rFonts w:hint="eastAsia" w:ascii="Times New Roman" w:hAnsi="Times New Roman" w:cs="Times New Roman"/>
          <w:b w:val="0"/>
          <w:i w:val="0"/>
          <w:color w:val="auto"/>
          <w:szCs w:val="32"/>
          <w:highlight w:val="none"/>
          <w:lang w:eastAsia="zh-CN"/>
        </w:rPr>
        <w:t>―</w:t>
      </w:r>
      <w:r>
        <w:rPr>
          <w:rFonts w:ascii="Times New Roman" w:hAnsi="Times New Roman" w:cs="Times New Roman"/>
          <w:color w:val="auto"/>
          <w:szCs w:val="32"/>
          <w:highlight w:val="none"/>
        </w:rPr>
        <w:t>末端点”三级配送链条，实现生鲜农产品次日达、日用品当日达。优化多式联运网络，推动绿园区物流枢纽与都市圈重要货场的无缝衔接，针对都市圈汽车零部件、航空配件、生物医药、新材料等高附加值产品，设计定制化联运方案，降低区域综合物流成本，提升都市圈开放枢纽货物集散效能。</w:t>
      </w:r>
    </w:p>
    <w:p>
      <w:pPr>
        <w:pStyle w:val="4"/>
        <w:pageBreakBefore w:val="0"/>
        <w:wordWrap/>
        <w:overflowPunct/>
        <w:autoSpaceDE/>
        <w:autoSpaceDN/>
        <w:bidi w:val="0"/>
        <w:spacing w:line="530" w:lineRule="exact"/>
        <w:rPr>
          <w:color w:val="auto"/>
          <w:highlight w:val="none"/>
        </w:rPr>
      </w:pPr>
      <w:bookmarkStart w:id="106" w:name="_Toc998794406"/>
      <w:bookmarkStart w:id="107" w:name="_Toc1639296932"/>
      <w:bookmarkStart w:id="108" w:name="_Toc496147307"/>
      <w:bookmarkStart w:id="109" w:name="_Toc1823584064"/>
      <w:r>
        <w:rPr>
          <w:rFonts w:hint="eastAsia"/>
          <w:color w:val="auto"/>
          <w:highlight w:val="none"/>
        </w:rPr>
        <w:t>支撑建设西部先进制造业集聚区</w:t>
      </w:r>
      <w:bookmarkEnd w:id="106"/>
      <w:bookmarkEnd w:id="107"/>
      <w:bookmarkEnd w:id="108"/>
      <w:bookmarkEnd w:id="109"/>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打造西部先进制造走廊。</w:t>
      </w:r>
      <w:r>
        <w:rPr>
          <w:rFonts w:ascii="Times New Roman" w:hAnsi="Times New Roman" w:cs="Times New Roman"/>
          <w:color w:val="auto"/>
          <w:szCs w:val="32"/>
          <w:highlight w:val="none"/>
        </w:rPr>
        <w:t>以绿园经济开发区为核心，强化</w:t>
      </w:r>
      <w:r>
        <w:rPr>
          <w:rFonts w:hint="eastAsia" w:ascii="Times New Roman" w:hAnsi="Times New Roman" w:cs="Times New Roman"/>
          <w:color w:val="auto"/>
          <w:szCs w:val="32"/>
          <w:highlight w:val="none"/>
          <w:lang w:val="en-US" w:eastAsia="zh-CN"/>
        </w:rPr>
        <w:t>绿园经济开发区（南区）</w:t>
      </w:r>
      <w:r>
        <w:rPr>
          <w:rFonts w:ascii="Times New Roman" w:hAnsi="Times New Roman" w:cs="Times New Roman"/>
          <w:color w:val="auto"/>
          <w:szCs w:val="32"/>
          <w:highlight w:val="none"/>
        </w:rPr>
        <w:t>与汽开区联动，完善汽车供应链、产业链，建设汽车产业集群，强化</w:t>
      </w:r>
      <w:r>
        <w:rPr>
          <w:rFonts w:hint="eastAsia" w:ascii="Times New Roman" w:hAnsi="Times New Roman" w:cs="Times New Roman"/>
          <w:color w:val="auto"/>
          <w:szCs w:val="32"/>
          <w:highlight w:val="none"/>
          <w:lang w:eastAsia="zh-CN"/>
        </w:rPr>
        <w:t>绿园经济开发区（北区）</w:t>
      </w:r>
      <w:r>
        <w:rPr>
          <w:rFonts w:ascii="Times New Roman" w:hAnsi="Times New Roman" w:cs="Times New Roman"/>
          <w:color w:val="auto"/>
          <w:szCs w:val="32"/>
          <w:highlight w:val="none"/>
        </w:rPr>
        <w:t>与宽城经济开发区联动，建设集研发、制造、检修、运维于一体的轨道客车基地，形成特色鲜明、分工合理的产业空间布局。推进小五环建设，畅通城市西部货运通道，强化与长春新区、汽开区、宽城区产业空间联系，推动生产物流产业向小五环集聚。推动景阳大路、西四环、花莲路等街路及城中村缆线管廊改造，加强产业园区路网建设，优化内部交通微循环。保障水、电、气、热等市政配套供给，提升产业走廊能源保障能力，夯实西部产业空间承载基础。</w:t>
      </w:r>
    </w:p>
    <w:p>
      <w:pPr>
        <w:pStyle w:val="19"/>
        <w:pageBreakBefore w:val="0"/>
        <w:wordWrap/>
        <w:overflowPunct/>
        <w:autoSpaceDE/>
        <w:autoSpaceDN/>
        <w:bidi w:val="0"/>
        <w:spacing w:line="530" w:lineRule="exact"/>
        <w:rPr>
          <w:rFonts w:hint="eastAsia" w:ascii="Times New Roman" w:hAnsi="Times New Roman" w:cs="Times New Roman"/>
          <w:color w:val="auto"/>
          <w:szCs w:val="32"/>
          <w:highlight w:val="none"/>
        </w:rPr>
      </w:pPr>
      <w:r>
        <w:rPr>
          <w:b/>
          <w:bCs/>
          <w:color w:val="auto"/>
          <w:highlight w:val="none"/>
        </w:rPr>
        <w:t>深化跨区域产业协同。</w:t>
      </w:r>
      <w:r>
        <w:rPr>
          <w:b w:val="0"/>
          <w:bCs w:val="0"/>
          <w:color w:val="auto"/>
          <w:highlight w:val="none"/>
        </w:rPr>
        <w:t>强化与本地龙头企业协同。</w:t>
      </w:r>
      <w:r>
        <w:rPr>
          <w:color w:val="auto"/>
          <w:highlight w:val="none"/>
        </w:rPr>
        <w:t>围绕一汽新能源汽车产能扩张，在</w:t>
      </w:r>
      <w:r>
        <w:rPr>
          <w:rFonts w:hint="eastAsia"/>
          <w:color w:val="auto"/>
          <w:highlight w:val="none"/>
          <w:lang w:eastAsia="zh-CN"/>
        </w:rPr>
        <w:t>绿园经济开发区（南区）</w:t>
      </w:r>
      <w:r>
        <w:rPr>
          <w:color w:val="auto"/>
          <w:highlight w:val="none"/>
        </w:rPr>
        <w:t>重点推动新能源汽车零部件配套产业发展</w:t>
      </w:r>
      <w:r>
        <w:rPr>
          <w:color w:val="auto"/>
          <w:szCs w:val="32"/>
          <w:highlight w:val="none"/>
        </w:rPr>
        <w:t>，建设新能源汽车零部件产业园</w:t>
      </w:r>
      <w:r>
        <w:rPr>
          <w:rFonts w:hint="eastAsia"/>
          <w:color w:val="auto"/>
          <w:szCs w:val="32"/>
          <w:highlight w:val="none"/>
          <w:lang w:eastAsia="zh-CN"/>
        </w:rPr>
        <w:t>，</w:t>
      </w:r>
      <w:r>
        <w:rPr>
          <w:color w:val="auto"/>
          <w:highlight w:val="none"/>
        </w:rPr>
        <w:t>补齐汽车电子、电池配件等弱链节点。聚焦中车长客轨道客车升级需求，在</w:t>
      </w:r>
      <w:r>
        <w:rPr>
          <w:rFonts w:hint="eastAsia"/>
          <w:color w:val="auto"/>
          <w:highlight w:val="none"/>
          <w:lang w:eastAsia="zh-CN"/>
        </w:rPr>
        <w:t>绿园经济开发区（北区）</w:t>
      </w:r>
      <w:r>
        <w:rPr>
          <w:color w:val="auto"/>
          <w:highlight w:val="none"/>
        </w:rPr>
        <w:t>布局中车长客轨道客车配套产业，形成“主机厂+配套企业”协同发展的产业生态，提升本地配套率。</w:t>
      </w:r>
      <w:r>
        <w:rPr>
          <w:rFonts w:ascii="Times New Roman" w:hAnsi="Times New Roman" w:cs="Times New Roman"/>
          <w:color w:val="auto"/>
          <w:szCs w:val="32"/>
          <w:highlight w:val="none"/>
        </w:rPr>
        <w:t>吸引域外龙头企业产业合作，瞄准比亚迪、宁德时代等新能源汽车龙头企业，引进动力电池、智能控制等项目，探索跨地区搭建“飞地园区”“共建园区”等合作平台，打造新能源汽车配套产业高地。</w:t>
      </w:r>
    </w:p>
    <w:p>
      <w:pPr>
        <w:pStyle w:val="3"/>
        <w:pageBreakBefore w:val="0"/>
        <w:wordWrap/>
        <w:overflowPunct/>
        <w:autoSpaceDE/>
        <w:autoSpaceDN/>
        <w:bidi w:val="0"/>
        <w:spacing w:line="530" w:lineRule="exact"/>
        <w:rPr>
          <w:rFonts w:hint="eastAsia"/>
          <w:color w:val="auto"/>
          <w:highlight w:val="none"/>
          <w:lang w:val="en-US" w:eastAsia="zh-CN"/>
        </w:rPr>
      </w:pPr>
      <w:bookmarkStart w:id="110" w:name="_Toc90753664"/>
      <w:bookmarkStart w:id="111" w:name="_Toc68787448"/>
      <w:bookmarkStart w:id="112" w:name="_Toc674165449"/>
      <w:bookmarkStart w:id="113" w:name="_Toc160791480"/>
      <w:bookmarkStart w:id="114" w:name="_Toc1008159105"/>
      <w:bookmarkStart w:id="115" w:name="_Toc2005396690"/>
      <w:bookmarkStart w:id="116" w:name="_Toc95429419"/>
      <w:bookmarkStart w:id="117" w:name="_Toc1595828761"/>
      <w:r>
        <w:rPr>
          <w:rFonts w:hint="eastAsia"/>
          <w:color w:val="auto"/>
          <w:highlight w:val="none"/>
        </w:rPr>
        <w:t>构建“</w:t>
      </w:r>
      <w:r>
        <w:rPr>
          <w:rFonts w:hint="eastAsia"/>
          <w:color w:val="auto"/>
          <w:highlight w:val="none"/>
          <w:lang w:val="en-US" w:eastAsia="zh-CN"/>
        </w:rPr>
        <w:t>一城六区</w:t>
      </w:r>
      <w:r>
        <w:rPr>
          <w:rFonts w:hint="eastAsia"/>
          <w:color w:val="auto"/>
          <w:highlight w:val="none"/>
        </w:rPr>
        <w:t>”空间</w:t>
      </w:r>
      <w:r>
        <w:rPr>
          <w:rFonts w:hint="eastAsia"/>
          <w:color w:val="auto"/>
          <w:highlight w:val="none"/>
          <w:lang w:val="en-US" w:eastAsia="zh-CN"/>
        </w:rPr>
        <w:t>格局</w:t>
      </w:r>
      <w:bookmarkEnd w:id="110"/>
      <w:bookmarkEnd w:id="111"/>
      <w:bookmarkEnd w:id="112"/>
      <w:bookmarkEnd w:id="113"/>
      <w:bookmarkEnd w:id="114"/>
      <w:bookmarkEnd w:id="115"/>
      <w:bookmarkEnd w:id="116"/>
      <w:bookmarkEnd w:id="117"/>
    </w:p>
    <w:p>
      <w:pPr>
        <w:pStyle w:val="4"/>
        <w:pageBreakBefore w:val="0"/>
        <w:wordWrap/>
        <w:overflowPunct/>
        <w:autoSpaceDE/>
        <w:autoSpaceDN/>
        <w:bidi w:val="0"/>
        <w:spacing w:line="530" w:lineRule="exact"/>
        <w:rPr>
          <w:color w:val="auto"/>
          <w:highlight w:val="none"/>
        </w:rPr>
      </w:pPr>
      <w:bookmarkStart w:id="118" w:name="_Toc1170718744"/>
      <w:bookmarkStart w:id="119" w:name="_Toc2093812812"/>
      <w:bookmarkStart w:id="120" w:name="_Toc583441478"/>
      <w:bookmarkStart w:id="121" w:name="_Toc764436450"/>
      <w:r>
        <w:rPr>
          <w:color w:val="auto"/>
          <w:highlight w:val="none"/>
        </w:rPr>
        <w:t>推动</w:t>
      </w:r>
      <w:r>
        <w:rPr>
          <w:rFonts w:hint="eastAsia"/>
          <w:color w:val="auto"/>
          <w:highlight w:val="none"/>
        </w:rPr>
        <w:t>“</w:t>
      </w:r>
      <w:r>
        <w:rPr>
          <w:color w:val="auto"/>
          <w:highlight w:val="none"/>
        </w:rPr>
        <w:t>一</w:t>
      </w:r>
      <w:r>
        <w:rPr>
          <w:rFonts w:hint="eastAsia"/>
          <w:color w:val="auto"/>
          <w:highlight w:val="none"/>
          <w:lang w:val="en-US" w:eastAsia="zh-CN"/>
        </w:rPr>
        <w:t>城</w:t>
      </w:r>
      <w:r>
        <w:rPr>
          <w:rFonts w:hint="eastAsia"/>
          <w:color w:val="auto"/>
          <w:highlight w:val="none"/>
        </w:rPr>
        <w:t>”</w:t>
      </w:r>
      <w:r>
        <w:rPr>
          <w:color w:val="auto"/>
          <w:highlight w:val="none"/>
        </w:rPr>
        <w:t>引领</w:t>
      </w:r>
      <w:bookmarkEnd w:id="118"/>
      <w:bookmarkEnd w:id="119"/>
      <w:bookmarkEnd w:id="120"/>
      <w:bookmarkEnd w:id="121"/>
    </w:p>
    <w:p>
      <w:pPr>
        <w:pStyle w:val="19"/>
        <w:pageBreakBefore w:val="0"/>
        <w:wordWrap/>
        <w:overflowPunct/>
        <w:autoSpaceDE/>
        <w:autoSpaceDN/>
        <w:bidi w:val="0"/>
        <w:spacing w:line="530" w:lineRule="exact"/>
        <w:ind w:firstLine="643"/>
        <w:rPr>
          <w:rFonts w:hint="default"/>
          <w:color w:val="auto"/>
          <w:highlight w:val="none"/>
        </w:rPr>
      </w:pPr>
      <w:r>
        <w:rPr>
          <w:rFonts w:hint="eastAsia" w:ascii="Times New Roman" w:hAnsi="Times New Roman" w:cs="Times New Roman"/>
          <w:b/>
          <w:bCs/>
          <w:color w:val="auto"/>
          <w:sz w:val="32"/>
          <w:szCs w:val="32"/>
          <w:highlight w:val="none"/>
        </w:rPr>
        <w:t>航博城</w:t>
      </w:r>
      <w:r>
        <w:rPr>
          <w:rFonts w:ascii="Times New Roman" w:hAnsi="Times New Roman" w:cs="Times New Roman"/>
          <w:b/>
          <w:bCs/>
          <w:color w:val="auto"/>
          <w:sz w:val="32"/>
          <w:szCs w:val="32"/>
          <w:highlight w:val="none"/>
        </w:rPr>
        <w:t>核心引擎。</w:t>
      </w:r>
      <w:r>
        <w:rPr>
          <w:rFonts w:hint="eastAsia"/>
          <w:b w:val="0"/>
          <w:bCs/>
          <w:color w:val="auto"/>
          <w:highlight w:val="none"/>
        </w:rPr>
        <w:t>规划范围东至西环城路，西至绕城高速，南至</w:t>
      </w:r>
      <w:r>
        <w:rPr>
          <w:rFonts w:hint="eastAsia"/>
          <w:b w:val="0"/>
          <w:bCs/>
          <w:color w:val="auto"/>
          <w:highlight w:val="none"/>
          <w:lang w:val="en-US" w:eastAsia="zh-CN"/>
        </w:rPr>
        <w:t>迎宾路—皓月大路—景阳大路</w:t>
      </w:r>
      <w:r>
        <w:rPr>
          <w:rFonts w:hint="eastAsia"/>
          <w:b w:val="0"/>
          <w:bCs/>
          <w:color w:val="auto"/>
          <w:highlight w:val="none"/>
        </w:rPr>
        <w:t>，北至长白公路，用地规模约</w:t>
      </w:r>
      <w:r>
        <w:rPr>
          <w:rFonts w:hint="eastAsia" w:ascii="Times New Roman" w:hAnsi="Times New Roman"/>
          <w:b w:val="0"/>
          <w:bCs/>
          <w:i w:val="0"/>
          <w:color w:val="auto"/>
          <w:highlight w:val="none"/>
          <w:lang w:val="en-US" w:eastAsia="zh-CN"/>
        </w:rPr>
        <w:t>31.9</w:t>
      </w:r>
      <w:r>
        <w:rPr>
          <w:rFonts w:hint="eastAsia"/>
          <w:b w:val="0"/>
          <w:bCs/>
          <w:color w:val="auto"/>
          <w:highlight w:val="none"/>
        </w:rPr>
        <w:t>平方公里。紧紧把握长春航空展带来的重大发展机遇，以“以展促产”为核心策略，致力于承载航空展览与产业融合的双重功能。打造军事航空展览新地标，并建设成为带动全市创新活力的新经济策源地，以此促进全区各类生产要素高效集聚，全面激活城市内生发展动力。以航展为重要媒介，积极引入低空经济等新兴业态，打破区域现有以“两车”制造及肉牛深加工为主的传统产业格局，推动全区产业体系的转型升级与多元化发展。大力促进基础设施的现代化升级，</w:t>
      </w:r>
      <w:r>
        <w:rPr>
          <w:rFonts w:hint="eastAsia"/>
          <w:b w:val="0"/>
          <w:bCs/>
          <w:color w:val="auto"/>
          <w:highlight w:val="none"/>
          <w:lang w:val="en-US" w:eastAsia="zh-CN"/>
        </w:rPr>
        <w:t>积极与市级层面协商，推动</w:t>
      </w:r>
      <w:r>
        <w:rPr>
          <w:rFonts w:hint="eastAsia"/>
          <w:b w:val="0"/>
          <w:bCs/>
          <w:color w:val="auto"/>
          <w:highlight w:val="none"/>
        </w:rPr>
        <w:t>景阳大路贯通工程、西客站直通直连工程以及全面的市政设施配套工程</w:t>
      </w:r>
      <w:r>
        <w:rPr>
          <w:rFonts w:hint="eastAsia"/>
          <w:b w:val="0"/>
          <w:bCs/>
          <w:color w:val="auto"/>
          <w:highlight w:val="none"/>
          <w:lang w:val="en-US" w:eastAsia="zh-CN"/>
        </w:rPr>
        <w:t>的实施</w:t>
      </w:r>
      <w:r>
        <w:rPr>
          <w:rFonts w:hint="eastAsia"/>
          <w:b w:val="0"/>
          <w:bCs/>
          <w:color w:val="auto"/>
          <w:highlight w:val="none"/>
        </w:rPr>
        <w:t>，提升全区的综合服务能力与城市承载能级。通过航空文化与城市更新的双轮驱动，将</w:t>
      </w:r>
      <w:r>
        <w:rPr>
          <w:rFonts w:hint="eastAsia"/>
          <w:b w:val="0"/>
          <w:bCs/>
          <w:color w:val="auto"/>
          <w:highlight w:val="none"/>
          <w:lang w:val="en-US" w:eastAsia="zh-CN"/>
        </w:rPr>
        <w:t>绿园区</w:t>
      </w:r>
      <w:r>
        <w:rPr>
          <w:rFonts w:hint="eastAsia"/>
          <w:b w:val="0"/>
          <w:bCs/>
          <w:color w:val="auto"/>
          <w:highlight w:val="none"/>
        </w:rPr>
        <w:t>打造成为一个以航空为鲜明特色的核心发展引擎，有效辐射并带动周边区域协同发展，共同构筑富有活力的城市西部新增长极。</w:t>
      </w:r>
    </w:p>
    <w:p>
      <w:pPr>
        <w:pStyle w:val="4"/>
        <w:pageBreakBefore w:val="0"/>
        <w:wordWrap/>
        <w:overflowPunct/>
        <w:autoSpaceDE/>
        <w:autoSpaceDN/>
        <w:bidi w:val="0"/>
        <w:spacing w:line="530" w:lineRule="exact"/>
        <w:rPr>
          <w:color w:val="auto"/>
          <w:highlight w:val="none"/>
        </w:rPr>
      </w:pPr>
      <w:bookmarkStart w:id="122" w:name="_Toc1024756594"/>
      <w:bookmarkStart w:id="123" w:name="_Toc490588544"/>
      <w:bookmarkStart w:id="124" w:name="_Toc1636238796"/>
      <w:bookmarkStart w:id="125" w:name="_Toc2044891542"/>
      <w:r>
        <w:rPr>
          <w:color w:val="auto"/>
          <w:highlight w:val="none"/>
        </w:rPr>
        <w:t>构建</w:t>
      </w:r>
      <w:r>
        <w:rPr>
          <w:rFonts w:hint="eastAsia"/>
          <w:color w:val="auto"/>
          <w:highlight w:val="none"/>
        </w:rPr>
        <w:t>“</w:t>
      </w:r>
      <w:r>
        <w:rPr>
          <w:rFonts w:hint="eastAsia"/>
          <w:color w:val="auto"/>
          <w:highlight w:val="none"/>
          <w:lang w:val="en-US" w:eastAsia="zh-CN"/>
        </w:rPr>
        <w:t>六区</w:t>
      </w:r>
      <w:r>
        <w:rPr>
          <w:color w:val="auto"/>
          <w:highlight w:val="none"/>
        </w:rPr>
        <w:t>”联动</w:t>
      </w:r>
      <w:bookmarkEnd w:id="122"/>
      <w:bookmarkEnd w:id="123"/>
      <w:bookmarkEnd w:id="124"/>
      <w:bookmarkEnd w:id="125"/>
    </w:p>
    <w:p>
      <w:pPr>
        <w:pStyle w:val="19"/>
        <w:pageBreakBefore w:val="0"/>
        <w:wordWrap/>
        <w:overflowPunct/>
        <w:autoSpaceDE/>
        <w:autoSpaceDN/>
        <w:bidi w:val="0"/>
        <w:spacing w:line="530" w:lineRule="exact"/>
        <w:rPr>
          <w:rFonts w:hint="default"/>
          <w:color w:val="auto"/>
          <w:highlight w:val="none"/>
        </w:rPr>
      </w:pPr>
      <w:r>
        <w:rPr>
          <w:rFonts w:hint="eastAsia" w:ascii="仿宋_GB2312" w:hAnsi="仿宋_GB2312" w:eastAsia="仿宋_GB2312" w:cs="仿宋_GB2312"/>
          <w:b/>
          <w:bCs/>
          <w:color w:val="auto"/>
          <w:kern w:val="2"/>
          <w:sz w:val="32"/>
          <w:szCs w:val="32"/>
          <w:highlight w:val="none"/>
          <w:lang w:val="en-US" w:eastAsia="zh-CN" w:bidi="ar-SA"/>
        </w:rPr>
        <w:t>西客站综合枢纽门户区</w:t>
      </w:r>
      <w:r>
        <w:rPr>
          <w:b/>
          <w:bCs/>
          <w:color w:val="auto"/>
          <w:highlight w:val="none"/>
        </w:rPr>
        <w:t>。</w:t>
      </w:r>
      <w:r>
        <w:rPr>
          <w:color w:val="auto"/>
          <w:highlight w:val="none"/>
        </w:rPr>
        <w:t>规划范围东至西环城路，西至西四环路，南至绿园区行政边界，北至</w:t>
      </w:r>
      <w:r>
        <w:rPr>
          <w:rFonts w:hint="eastAsia"/>
          <w:color w:val="auto"/>
          <w:highlight w:val="none"/>
          <w:lang w:val="en-US" w:eastAsia="zh-CN"/>
        </w:rPr>
        <w:t>景阳</w:t>
      </w:r>
      <w:r>
        <w:rPr>
          <w:color w:val="auto"/>
          <w:highlight w:val="none"/>
        </w:rPr>
        <w:t>大路，用地规模约</w:t>
      </w:r>
      <w:r>
        <w:rPr>
          <w:rFonts w:hint="eastAsia" w:ascii="Times New Roman" w:hAnsi="Times New Roman"/>
          <w:b w:val="0"/>
          <w:i w:val="0"/>
          <w:color w:val="auto"/>
          <w:highlight w:val="none"/>
          <w:lang w:val="en-US" w:eastAsia="zh-CN"/>
        </w:rPr>
        <w:t>13.3</w:t>
      </w:r>
      <w:r>
        <w:rPr>
          <w:color w:val="auto"/>
          <w:highlight w:val="none"/>
        </w:rPr>
        <w:t>平方公里。强化与航博城产业联动，重点布局商贸综合体、星级酒店、商务办公、会议中心、金融科技，文化、医疗、体育等公共服务中心建设，打造西部现代服务业集聚区。</w:t>
      </w:r>
    </w:p>
    <w:p>
      <w:pPr>
        <w:pStyle w:val="19"/>
        <w:pageBreakBefore w:val="0"/>
        <w:wordWrap/>
        <w:overflowPunct/>
        <w:autoSpaceDE/>
        <w:autoSpaceDN/>
        <w:bidi w:val="0"/>
        <w:spacing w:line="530" w:lineRule="exact"/>
        <w:rPr>
          <w:rFonts w:hint="default"/>
          <w:color w:val="auto"/>
          <w:highlight w:val="none"/>
        </w:rPr>
      </w:pPr>
      <w:r>
        <w:rPr>
          <w:b/>
          <w:bCs/>
          <w:color w:val="auto"/>
          <w:highlight w:val="none"/>
        </w:rPr>
        <w:t>两车</w:t>
      </w:r>
      <w:r>
        <w:rPr>
          <w:rFonts w:hint="eastAsia" w:ascii="仿宋_GB2312" w:hAnsi="仿宋_GB2312" w:eastAsia="仿宋_GB2312" w:cs="仿宋_GB2312"/>
          <w:b/>
          <w:bCs/>
          <w:color w:val="auto"/>
          <w:kern w:val="2"/>
          <w:sz w:val="32"/>
          <w:szCs w:val="32"/>
          <w:highlight w:val="none"/>
          <w:lang w:val="en-US" w:eastAsia="zh-CN" w:bidi="ar-SA"/>
        </w:rPr>
        <w:t>高端装备科创智造区</w:t>
      </w:r>
      <w:r>
        <w:rPr>
          <w:b/>
          <w:bCs/>
          <w:color w:val="auto"/>
          <w:highlight w:val="none"/>
        </w:rPr>
        <w:t>。</w:t>
      </w:r>
      <w:r>
        <w:rPr>
          <w:color w:val="auto"/>
          <w:highlight w:val="none"/>
        </w:rPr>
        <w:t>规划范围为绿园经济开发区，其中，北区东至绕城高速，西</w:t>
      </w:r>
      <w:r>
        <w:rPr>
          <w:rFonts w:hint="eastAsia"/>
          <w:color w:val="auto"/>
          <w:highlight w:val="none"/>
          <w:lang w:val="en-US" w:eastAsia="zh-CN"/>
        </w:rPr>
        <w:t>至</w:t>
      </w:r>
      <w:r>
        <w:rPr>
          <w:color w:val="auto"/>
          <w:highlight w:val="none"/>
        </w:rPr>
        <w:t>合心大街</w:t>
      </w:r>
      <w:r>
        <w:rPr>
          <w:rFonts w:hint="eastAsia" w:ascii="Times New Roman" w:hAnsi="Times New Roman"/>
          <w:color w:val="auto"/>
          <w:highlight w:val="none"/>
          <w:lang w:eastAsia="zh-CN"/>
        </w:rPr>
        <w:t>―</w:t>
      </w:r>
      <w:r>
        <w:rPr>
          <w:color w:val="auto"/>
          <w:highlight w:val="none"/>
        </w:rPr>
        <w:t>宏图大街，南至乔家窝堡，北至中车产业园，用地规模约</w:t>
      </w:r>
      <w:r>
        <w:rPr>
          <w:rFonts w:ascii="Times New Roman" w:hAnsi="Times New Roman"/>
          <w:b w:val="0"/>
          <w:i w:val="0"/>
          <w:color w:val="auto"/>
          <w:highlight w:val="none"/>
        </w:rPr>
        <w:t>11</w:t>
      </w:r>
      <w:r>
        <w:rPr>
          <w:color w:val="auto"/>
          <w:highlight w:val="none"/>
        </w:rPr>
        <w:t>.</w:t>
      </w:r>
      <w:r>
        <w:rPr>
          <w:rFonts w:ascii="Times New Roman" w:hAnsi="Times New Roman"/>
          <w:b w:val="0"/>
          <w:i w:val="0"/>
          <w:color w:val="auto"/>
          <w:highlight w:val="none"/>
        </w:rPr>
        <w:t>8</w:t>
      </w:r>
      <w:r>
        <w:rPr>
          <w:color w:val="auto"/>
          <w:highlight w:val="none"/>
        </w:rPr>
        <w:t>平方公里</w:t>
      </w:r>
      <w:r>
        <w:rPr>
          <w:rFonts w:hint="eastAsia"/>
          <w:color w:val="auto"/>
          <w:highlight w:val="none"/>
          <w:lang w:eastAsia="zh-CN"/>
        </w:rPr>
        <w:t>；</w:t>
      </w:r>
      <w:r>
        <w:rPr>
          <w:color w:val="auto"/>
          <w:highlight w:val="none"/>
        </w:rPr>
        <w:t>南区东至绕城高速，西至新开河街，南至建九街，北至新一路，用地规模约</w:t>
      </w:r>
      <w:r>
        <w:rPr>
          <w:rFonts w:ascii="Times New Roman" w:hAnsi="Times New Roman"/>
          <w:b w:val="0"/>
          <w:i w:val="0"/>
          <w:color w:val="auto"/>
          <w:highlight w:val="none"/>
        </w:rPr>
        <w:t>7</w:t>
      </w:r>
      <w:r>
        <w:rPr>
          <w:color w:val="auto"/>
          <w:highlight w:val="none"/>
        </w:rPr>
        <w:t>.</w:t>
      </w:r>
      <w:r>
        <w:rPr>
          <w:rFonts w:ascii="Times New Roman" w:hAnsi="Times New Roman"/>
          <w:b w:val="0"/>
          <w:i w:val="0"/>
          <w:color w:val="auto"/>
          <w:highlight w:val="none"/>
        </w:rPr>
        <w:t>8</w:t>
      </w:r>
      <w:r>
        <w:rPr>
          <w:color w:val="auto"/>
          <w:highlight w:val="none"/>
        </w:rPr>
        <w:t>平方公里。依托中车长客和毗邻一汽主机厂优势，进一步稳固两车配套主营业务，扩链延链补链，延伸新材料、新能源产业链。在发展制造业基础上，拓展开发工业旅游，谋划打造轨道客车博物馆和汽车博物馆，与</w:t>
      </w:r>
      <w:r>
        <w:rPr>
          <w:rFonts w:hint="eastAsia"/>
          <w:color w:val="auto"/>
          <w:highlight w:val="none"/>
          <w:lang w:val="en-US" w:eastAsia="zh-CN"/>
        </w:rPr>
        <w:t>中国航空博物馆</w:t>
      </w:r>
      <w:r>
        <w:rPr>
          <w:color w:val="auto"/>
          <w:highlight w:val="none"/>
        </w:rPr>
        <w:t>形成“三馆鼎立”的大旅游路线。</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lang w:val="en-US" w:eastAsia="zh-CN"/>
        </w:rPr>
        <w:t>都市农业现代化示范区</w:t>
      </w:r>
      <w:r>
        <w:rPr>
          <w:b/>
          <w:bCs/>
          <w:color w:val="auto"/>
          <w:highlight w:val="none"/>
        </w:rPr>
        <w:t>。</w:t>
      </w:r>
      <w:r>
        <w:rPr>
          <w:color w:val="auto"/>
          <w:highlight w:val="none"/>
        </w:rPr>
        <w:t>规划范围为东至绕城高速，南、西、北均至绿园区行政边界，用地规模约</w:t>
      </w:r>
      <w:r>
        <w:rPr>
          <w:rFonts w:ascii="Times New Roman" w:hAnsi="Times New Roman"/>
          <w:b w:val="0"/>
          <w:i w:val="0"/>
          <w:color w:val="auto"/>
          <w:highlight w:val="none"/>
        </w:rPr>
        <w:t>80</w:t>
      </w:r>
      <w:r>
        <w:rPr>
          <w:color w:val="auto"/>
          <w:highlight w:val="none"/>
        </w:rPr>
        <w:t>.</w:t>
      </w:r>
      <w:r>
        <w:rPr>
          <w:rFonts w:ascii="Times New Roman" w:hAnsi="Times New Roman"/>
          <w:b w:val="0"/>
          <w:i w:val="0"/>
          <w:color w:val="auto"/>
          <w:highlight w:val="none"/>
        </w:rPr>
        <w:t>1</w:t>
      </w:r>
      <w:r>
        <w:rPr>
          <w:color w:val="auto"/>
          <w:highlight w:val="none"/>
        </w:rPr>
        <w:t>平方公里。围绕绿园农业基础，促进农业现代化、科技化发展，提升绿园农业综合竞争力</w:t>
      </w:r>
      <w:r>
        <w:rPr>
          <w:rFonts w:hint="eastAsia"/>
          <w:color w:val="auto"/>
          <w:highlight w:val="none"/>
          <w:lang w:eastAsia="zh-CN"/>
        </w:rPr>
        <w:t>，</w:t>
      </w:r>
      <w:r>
        <w:rPr>
          <w:rFonts w:hint="eastAsia"/>
          <w:color w:val="auto"/>
          <w:highlight w:val="none"/>
        </w:rPr>
        <w:t>集成物联网、大数据及人工智能技术，打造“从田间到餐桌”的全链条可追溯智慧农业样板。促进农业与休闲旅游、科普教育、文化体验及健康养生等产业的深度融合，发展特色农旅、田园综合体等新业态，延伸产业链、提升价值链。</w:t>
      </w:r>
    </w:p>
    <w:p>
      <w:pPr>
        <w:pStyle w:val="19"/>
        <w:pageBreakBefore w:val="0"/>
        <w:wordWrap/>
        <w:overflowPunct/>
        <w:autoSpaceDE/>
        <w:autoSpaceDN/>
        <w:bidi w:val="0"/>
        <w:spacing w:line="530" w:lineRule="exact"/>
        <w:rPr>
          <w:rFonts w:hint="default"/>
          <w:color w:val="auto"/>
          <w:highlight w:val="none"/>
        </w:rPr>
      </w:pPr>
      <w:r>
        <w:rPr>
          <w:rFonts w:hint="eastAsia" w:ascii="仿宋_GB2312" w:hAnsi="仿宋_GB2312" w:eastAsia="仿宋_GB2312" w:cs="仿宋_GB2312"/>
          <w:b/>
          <w:bCs/>
          <w:color w:val="auto"/>
          <w:kern w:val="2"/>
          <w:sz w:val="32"/>
          <w:szCs w:val="32"/>
          <w:highlight w:val="none"/>
          <w:lang w:val="en-US" w:eastAsia="zh-CN" w:bidi="ar-SA"/>
        </w:rPr>
        <w:t>皓月肉牛融合发展区</w:t>
      </w:r>
      <w:r>
        <w:rPr>
          <w:b/>
          <w:bCs/>
          <w:color w:val="auto"/>
          <w:highlight w:val="none"/>
        </w:rPr>
        <w:t>。</w:t>
      </w:r>
      <w:r>
        <w:rPr>
          <w:color w:val="auto"/>
          <w:highlight w:val="none"/>
        </w:rPr>
        <w:t>规划范围为东至西四环路，西至绕城高速，南至长深高速，北至迎宾路，用地规模约</w:t>
      </w:r>
      <w:r>
        <w:rPr>
          <w:rFonts w:ascii="Times New Roman" w:hAnsi="Times New Roman"/>
          <w:b w:val="0"/>
          <w:i w:val="0"/>
          <w:color w:val="auto"/>
          <w:highlight w:val="none"/>
        </w:rPr>
        <w:t>13</w:t>
      </w:r>
      <w:r>
        <w:rPr>
          <w:color w:val="auto"/>
          <w:highlight w:val="none"/>
        </w:rPr>
        <w:t>.</w:t>
      </w:r>
      <w:r>
        <w:rPr>
          <w:rFonts w:ascii="Times New Roman" w:hAnsi="Times New Roman"/>
          <w:b w:val="0"/>
          <w:i w:val="0"/>
          <w:color w:val="auto"/>
          <w:highlight w:val="none"/>
        </w:rPr>
        <w:t>5</w:t>
      </w:r>
      <w:r>
        <w:rPr>
          <w:color w:val="auto"/>
          <w:highlight w:val="none"/>
        </w:rPr>
        <w:t>平方公里。围绕肉牛产业园起步区建设，拓展研发、检测、营销等产业，建设以健康食品、科技制造为核心的生产、研发中心，同步发展工业旅游，打造集肉牛精深加工、健康休闲、文化体验于一体的国际生态肉牛产业拓展片区。</w:t>
      </w:r>
    </w:p>
    <w:p>
      <w:pPr>
        <w:pStyle w:val="19"/>
        <w:pageBreakBefore w:val="0"/>
        <w:wordWrap/>
        <w:overflowPunct/>
        <w:autoSpaceDE/>
        <w:autoSpaceDN/>
        <w:bidi w:val="0"/>
        <w:spacing w:line="530" w:lineRule="exact"/>
        <w:rPr>
          <w:rFonts w:hint="default"/>
          <w:color w:val="auto"/>
          <w:highlight w:val="none"/>
        </w:rPr>
      </w:pPr>
      <w:r>
        <w:rPr>
          <w:rFonts w:hint="eastAsia" w:ascii="仿宋_GB2312" w:hAnsi="仿宋_GB2312" w:eastAsia="仿宋_GB2312" w:cs="仿宋_GB2312"/>
          <w:b/>
          <w:bCs/>
          <w:color w:val="auto"/>
          <w:kern w:val="2"/>
          <w:sz w:val="32"/>
          <w:szCs w:val="32"/>
          <w:highlight w:val="none"/>
          <w:lang w:val="en-US" w:eastAsia="zh-CN" w:bidi="ar-SA"/>
        </w:rPr>
        <w:t>雁鸣湖生态康养区</w:t>
      </w:r>
      <w:r>
        <w:rPr>
          <w:b/>
          <w:bCs/>
          <w:color w:val="auto"/>
          <w:highlight w:val="none"/>
        </w:rPr>
        <w:t>。</w:t>
      </w:r>
      <w:r>
        <w:rPr>
          <w:rFonts w:hint="eastAsia"/>
          <w:b w:val="0"/>
          <w:bCs w:val="0"/>
          <w:color w:val="auto"/>
          <w:highlight w:val="none"/>
          <w:lang w:val="en-US" w:eastAsia="zh-CN"/>
        </w:rPr>
        <w:t>规划</w:t>
      </w:r>
      <w:r>
        <w:rPr>
          <w:color w:val="auto"/>
          <w:highlight w:val="none"/>
        </w:rPr>
        <w:t>范围东至西环城路，西至绕城高速，南至长白公路，北至长农公路，用地规模约</w:t>
      </w:r>
      <w:r>
        <w:rPr>
          <w:rFonts w:ascii="Times New Roman" w:hAnsi="Times New Roman"/>
          <w:b w:val="0"/>
          <w:i w:val="0"/>
          <w:color w:val="auto"/>
          <w:highlight w:val="none"/>
        </w:rPr>
        <w:t>34</w:t>
      </w:r>
      <w:r>
        <w:rPr>
          <w:color w:val="auto"/>
          <w:highlight w:val="none"/>
        </w:rPr>
        <w:t>.</w:t>
      </w:r>
      <w:r>
        <w:rPr>
          <w:rFonts w:ascii="Times New Roman" w:hAnsi="Times New Roman"/>
          <w:b w:val="0"/>
          <w:i w:val="0"/>
          <w:color w:val="auto"/>
          <w:highlight w:val="none"/>
        </w:rPr>
        <w:t>2</w:t>
      </w:r>
      <w:r>
        <w:rPr>
          <w:color w:val="auto"/>
          <w:highlight w:val="none"/>
        </w:rPr>
        <w:t>平方公里。依托雁鸣湖绿色生态要素基底，以生态健康产业为核心，引入医养健康服务、非标商业、主题运动服务、研学教育等功能，建设医养结合、文化娱乐为主、设施配套齐全的生态康养区。</w:t>
      </w:r>
    </w:p>
    <w:p>
      <w:pPr>
        <w:pStyle w:val="19"/>
        <w:pageBreakBefore w:val="0"/>
        <w:wordWrap/>
        <w:overflowPunct/>
        <w:autoSpaceDE/>
        <w:autoSpaceDN/>
        <w:bidi w:val="0"/>
        <w:spacing w:line="530" w:lineRule="exact"/>
        <w:rPr>
          <w:color w:val="auto"/>
          <w:highlight w:val="none"/>
        </w:rPr>
      </w:pPr>
      <w:r>
        <w:rPr>
          <w:rFonts w:hint="eastAsia" w:ascii="仿宋_GB2312" w:hAnsi="仿宋_GB2312" w:eastAsia="仿宋_GB2312" w:cs="仿宋_GB2312"/>
          <w:b/>
          <w:bCs/>
          <w:color w:val="auto"/>
          <w:kern w:val="2"/>
          <w:sz w:val="32"/>
          <w:szCs w:val="32"/>
          <w:highlight w:val="none"/>
          <w:lang w:val="en-US" w:eastAsia="zh-CN" w:bidi="ar-SA"/>
        </w:rPr>
        <w:t>老城焕新服务活力区</w:t>
      </w:r>
      <w:r>
        <w:rPr>
          <w:b/>
          <w:bCs/>
          <w:color w:val="auto"/>
          <w:highlight w:val="none"/>
        </w:rPr>
        <w:t>。</w:t>
      </w:r>
      <w:r>
        <w:rPr>
          <w:color w:val="auto"/>
          <w:highlight w:val="none"/>
        </w:rPr>
        <w:t>规划范围为三环以内绿园既有建成区，用地规模约</w:t>
      </w:r>
      <w:r>
        <w:rPr>
          <w:rFonts w:ascii="Times New Roman" w:hAnsi="Times New Roman"/>
          <w:b w:val="0"/>
          <w:i w:val="0"/>
          <w:color w:val="auto"/>
          <w:highlight w:val="none"/>
        </w:rPr>
        <w:t>25</w:t>
      </w:r>
      <w:r>
        <w:rPr>
          <w:color w:val="auto"/>
          <w:highlight w:val="none"/>
        </w:rPr>
        <w:t>平方公里。围绕城市更新、老旧小区改造、地下管网改造、城市交通、主次干路建设等对老城片区进行提档升级，促进业态繁荣，焕发新的生机。</w:t>
      </w:r>
    </w:p>
    <w:p>
      <w:pPr>
        <w:pStyle w:val="3"/>
        <w:pageBreakBefore w:val="0"/>
        <w:wordWrap/>
        <w:overflowPunct/>
        <w:autoSpaceDE/>
        <w:autoSpaceDN/>
        <w:bidi w:val="0"/>
        <w:spacing w:line="530" w:lineRule="exact"/>
        <w:rPr>
          <w:color w:val="auto"/>
          <w:highlight w:val="none"/>
        </w:rPr>
      </w:pPr>
      <w:bookmarkStart w:id="126" w:name="_Toc484102905"/>
      <w:bookmarkStart w:id="127" w:name="_Toc1859444471"/>
      <w:bookmarkStart w:id="128" w:name="_Toc1737344537"/>
      <w:bookmarkStart w:id="129" w:name="_Toc265226418"/>
      <w:bookmarkStart w:id="130" w:name="_Toc2138550938"/>
      <w:bookmarkStart w:id="131" w:name="_Toc1131938175"/>
      <w:bookmarkStart w:id="132" w:name="_Toc574979771"/>
      <w:bookmarkStart w:id="133" w:name="_Toc887976434"/>
      <w:bookmarkStart w:id="134" w:name="_Toc163859806"/>
      <w:r>
        <w:rPr>
          <w:color w:val="auto"/>
          <w:highlight w:val="none"/>
        </w:rPr>
        <w:t>严守自然资源底线</w:t>
      </w:r>
      <w:bookmarkEnd w:id="126"/>
      <w:bookmarkEnd w:id="127"/>
      <w:bookmarkEnd w:id="128"/>
      <w:bookmarkEnd w:id="129"/>
      <w:bookmarkEnd w:id="130"/>
      <w:bookmarkEnd w:id="131"/>
      <w:bookmarkEnd w:id="132"/>
      <w:bookmarkEnd w:id="133"/>
      <w:bookmarkEnd w:id="134"/>
    </w:p>
    <w:p>
      <w:pPr>
        <w:pStyle w:val="4"/>
        <w:pageBreakBefore w:val="0"/>
        <w:wordWrap/>
        <w:overflowPunct/>
        <w:autoSpaceDE/>
        <w:autoSpaceDN/>
        <w:bidi w:val="0"/>
        <w:spacing w:line="530" w:lineRule="exact"/>
        <w:rPr>
          <w:color w:val="auto"/>
          <w:highlight w:val="none"/>
        </w:rPr>
      </w:pPr>
      <w:bookmarkStart w:id="135" w:name="_Toc1631839801"/>
      <w:bookmarkStart w:id="136" w:name="_Toc214485100"/>
      <w:bookmarkStart w:id="137" w:name="_Toc2074762099"/>
      <w:bookmarkStart w:id="138" w:name="_Toc917723988"/>
      <w:r>
        <w:rPr>
          <w:color w:val="auto"/>
          <w:highlight w:val="none"/>
        </w:rPr>
        <w:t>坚持以国土空间规划作为用地依据</w:t>
      </w:r>
      <w:bookmarkEnd w:id="135"/>
      <w:bookmarkEnd w:id="136"/>
      <w:bookmarkEnd w:id="137"/>
      <w:bookmarkEnd w:id="138"/>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依据规划进行用地布局。</w:t>
      </w:r>
      <w:r>
        <w:rPr>
          <w:color w:val="auto"/>
          <w:highlight w:val="none"/>
        </w:rPr>
        <w:t>细化落实市级国土空间总体规划提出的开发保护要求，统筹布局农业、生态、城镇等功能空间，统筹基础设施和公共设施用地布局，综合利用地上地下空间，合理确定并严格控制新增建设用地规模，提高土地节约集约利用水平。</w:t>
      </w:r>
      <w:r>
        <w:rPr>
          <w:rFonts w:hint="eastAsia"/>
          <w:color w:val="auto"/>
          <w:highlight w:val="none"/>
        </w:rPr>
        <w:t>加快编制绿园区、合心镇</w:t>
      </w:r>
      <w:r>
        <w:rPr>
          <w:rFonts w:hint="eastAsia"/>
          <w:color w:val="auto"/>
          <w:highlight w:val="none"/>
          <w:lang w:eastAsia="zh-CN"/>
        </w:rPr>
        <w:t>、</w:t>
      </w:r>
      <w:r>
        <w:rPr>
          <w:rFonts w:hint="eastAsia"/>
          <w:color w:val="auto"/>
          <w:highlight w:val="none"/>
        </w:rPr>
        <w:t>西新</w:t>
      </w:r>
      <w:r>
        <w:rPr>
          <w:rFonts w:hint="eastAsia"/>
          <w:color w:val="auto"/>
          <w:highlight w:val="none"/>
          <w:lang w:val="en-US" w:eastAsia="zh-CN"/>
        </w:rPr>
        <w:t>镇</w:t>
      </w:r>
      <w:r>
        <w:rPr>
          <w:rFonts w:hint="eastAsia"/>
          <w:color w:val="auto"/>
          <w:highlight w:val="none"/>
        </w:rPr>
        <w:t>、城西</w:t>
      </w:r>
      <w:r>
        <w:rPr>
          <w:rFonts w:hint="eastAsia"/>
          <w:color w:val="auto"/>
          <w:highlight w:val="none"/>
          <w:lang w:val="en-US" w:eastAsia="zh-CN"/>
        </w:rPr>
        <w:t>镇</w:t>
      </w:r>
      <w:r>
        <w:rPr>
          <w:rFonts w:hint="eastAsia"/>
          <w:color w:val="auto"/>
          <w:highlight w:val="none"/>
        </w:rPr>
        <w:t>国土空间总体规划及详细规划。</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依据规划进行用途管制。</w:t>
      </w:r>
      <w:r>
        <w:rPr>
          <w:rFonts w:hint="eastAsia"/>
          <w:color w:val="auto"/>
          <w:highlight w:val="none"/>
        </w:rPr>
        <w:t>严格按照国土空间总体规划、详细规划确定的用地性质进行管控。哈达</w:t>
      </w:r>
      <w:r>
        <w:rPr>
          <w:rFonts w:hint="eastAsia"/>
          <w:color w:val="auto"/>
          <w:highlight w:val="none"/>
          <w:lang w:val="en-US" w:eastAsia="zh-CN"/>
        </w:rPr>
        <w:t>村</w:t>
      </w:r>
      <w:r>
        <w:rPr>
          <w:rFonts w:hint="eastAsia"/>
          <w:color w:val="auto"/>
          <w:highlight w:val="none"/>
        </w:rPr>
        <w:t>、东安</w:t>
      </w:r>
      <w:r>
        <w:rPr>
          <w:rFonts w:hint="eastAsia"/>
          <w:color w:val="auto"/>
          <w:highlight w:val="none"/>
          <w:lang w:val="en-US" w:eastAsia="zh-CN"/>
        </w:rPr>
        <w:t>村</w:t>
      </w:r>
      <w:r>
        <w:rPr>
          <w:rFonts w:hint="eastAsia"/>
          <w:color w:val="auto"/>
          <w:highlight w:val="none"/>
        </w:rPr>
        <w:t>、永跃</w:t>
      </w:r>
      <w:r>
        <w:rPr>
          <w:rFonts w:hint="eastAsia"/>
          <w:color w:val="auto"/>
          <w:highlight w:val="none"/>
          <w:lang w:val="en-US" w:eastAsia="zh-CN"/>
        </w:rPr>
        <w:t>村</w:t>
      </w:r>
      <w:r>
        <w:rPr>
          <w:rFonts w:hint="eastAsia"/>
          <w:color w:val="auto"/>
          <w:highlight w:val="none"/>
        </w:rPr>
        <w:t>、裴家</w:t>
      </w:r>
      <w:r>
        <w:rPr>
          <w:rFonts w:hint="eastAsia"/>
          <w:color w:val="auto"/>
          <w:highlight w:val="none"/>
          <w:lang w:val="en-US" w:eastAsia="zh-CN"/>
        </w:rPr>
        <w:t>村</w:t>
      </w:r>
      <w:r>
        <w:rPr>
          <w:rFonts w:hint="eastAsia"/>
          <w:color w:val="auto"/>
          <w:highlight w:val="none"/>
        </w:rPr>
        <w:t>、红民村的村庄规划作为核发乡村建设许可的依据</w:t>
      </w:r>
      <w:r>
        <w:rPr>
          <w:color w:val="auto"/>
          <w:highlight w:val="none"/>
        </w:rPr>
        <w:t>，其余城西镇大营子村、跃进村、四间村，合心镇于家村、三间村、岳家村、新农家村在镇级国土空间规划中制定“通则式”规划管理规定，依法报批后作为乡村规划建设依据。</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依据规划进行调整优化</w:t>
      </w:r>
      <w:r>
        <w:rPr>
          <w:color w:val="auto"/>
          <w:highlight w:val="none"/>
        </w:rPr>
        <w:t>。落实市级总体规划确定的紫线。保障市级总体规划的绿线、蓝线在区级层面功能不降低、规模不减少</w:t>
      </w:r>
      <w:r>
        <w:rPr>
          <w:rFonts w:hint="eastAsia"/>
          <w:color w:val="auto"/>
          <w:highlight w:val="none"/>
          <w:lang w:eastAsia="zh-CN"/>
        </w:rPr>
        <w:t>；</w:t>
      </w:r>
      <w:r>
        <w:rPr>
          <w:color w:val="auto"/>
          <w:highlight w:val="none"/>
        </w:rPr>
        <w:t>并进一步细化落实。谋划包装全域土地综合整治项目</w:t>
      </w:r>
      <w:r>
        <w:rPr>
          <w:rFonts w:hint="eastAsia"/>
          <w:color w:val="auto"/>
          <w:highlight w:val="none"/>
          <w:lang w:eastAsia="zh-CN"/>
        </w:rPr>
        <w:t>，在</w:t>
      </w:r>
      <w:r>
        <w:rPr>
          <w:color w:val="auto"/>
          <w:highlight w:val="none"/>
        </w:rPr>
        <w:t>市级总体规划黄线的基础上，逐步细化，在区级层面确保预留的空间不被侵占。严格项目审批管理制度，严格落实耕地保护红线，谨慎调整城镇开发边界。严格按照流程对规划进行调整，避免未批先建等违法行为。</w:t>
      </w:r>
    </w:p>
    <w:p>
      <w:pPr>
        <w:pStyle w:val="4"/>
        <w:pageBreakBefore w:val="0"/>
        <w:wordWrap/>
        <w:overflowPunct/>
        <w:autoSpaceDE/>
        <w:autoSpaceDN/>
        <w:bidi w:val="0"/>
        <w:spacing w:line="530" w:lineRule="exact"/>
        <w:rPr>
          <w:color w:val="auto"/>
          <w:highlight w:val="none"/>
        </w:rPr>
      </w:pPr>
      <w:bookmarkStart w:id="139" w:name="_Toc1834621554"/>
      <w:bookmarkStart w:id="140" w:name="_Toc817879570"/>
      <w:bookmarkStart w:id="141" w:name="_Toc1373516034"/>
      <w:bookmarkStart w:id="142" w:name="_Toc959513562"/>
      <w:r>
        <w:rPr>
          <w:color w:val="auto"/>
          <w:highlight w:val="none"/>
        </w:rPr>
        <w:t>落实永久基本农田保护红线</w:t>
      </w:r>
      <w:bookmarkEnd w:id="139"/>
      <w:bookmarkEnd w:id="140"/>
      <w:bookmarkEnd w:id="141"/>
      <w:bookmarkEnd w:id="142"/>
    </w:p>
    <w:p>
      <w:pPr>
        <w:pStyle w:val="19"/>
        <w:pageBreakBefore w:val="0"/>
        <w:wordWrap/>
        <w:overflowPunct/>
        <w:autoSpaceDE/>
        <w:autoSpaceDN/>
        <w:bidi w:val="0"/>
        <w:spacing w:line="530" w:lineRule="exact"/>
        <w:ind w:firstLine="643"/>
        <w:rPr>
          <w:rFonts w:hint="eastAsia" w:eastAsia="仿宋"/>
          <w:color w:val="auto"/>
          <w:highlight w:val="none"/>
          <w:lang w:val="en-US" w:eastAsia="zh-CN"/>
        </w:rPr>
      </w:pPr>
      <w:r>
        <w:rPr>
          <w:b/>
          <w:bCs/>
          <w:color w:val="auto"/>
          <w:highlight w:val="none"/>
        </w:rPr>
        <w:t>严守永久基本农田</w:t>
      </w:r>
      <w:r>
        <w:rPr>
          <w:rFonts w:hint="eastAsia"/>
          <w:b/>
          <w:bCs/>
          <w:color w:val="auto"/>
          <w:highlight w:val="none"/>
          <w:lang w:val="en-US" w:eastAsia="zh-CN"/>
        </w:rPr>
        <w:t>保护红线</w:t>
      </w:r>
      <w:r>
        <w:rPr>
          <w:b/>
          <w:bCs/>
          <w:color w:val="auto"/>
          <w:highlight w:val="none"/>
        </w:rPr>
        <w:t>。</w:t>
      </w:r>
      <w:r>
        <w:rPr>
          <w:color w:val="auto"/>
          <w:highlight w:val="none"/>
        </w:rPr>
        <w:t>建立永久基本农田保护工作协同和信息共享机制，共享永久基本农田划定、质量等级等数据成果，按照职责分工做好永久基本农田保护红线监督管理的有关工作。</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严禁违法占用永久基本农田。</w:t>
      </w:r>
      <w:r>
        <w:rPr>
          <w:color w:val="auto"/>
          <w:highlight w:val="none"/>
        </w:rPr>
        <w:t>重点用于发展玉米、大豆、水稻等粮食生产，在满足粮食生产的前提下可以适度用于棉、油、糖、蔬菜等农产品的生产。禁止在城乡建设中以单个项目占用为目的，擅自调整永久基本农田保护红线。严禁占用基本农田挖湖造景，建设绿化带、种植草皮等用于绿化装饰；严禁制梁场、拌合站等以临时用地方式占用</w:t>
      </w:r>
      <w:r>
        <w:rPr>
          <w:rFonts w:hint="eastAsia"/>
          <w:color w:val="auto"/>
          <w:highlight w:val="none"/>
          <w:lang w:eastAsia="zh-CN"/>
        </w:rPr>
        <w:t>耕地和永久基本农田</w:t>
      </w:r>
      <w:r>
        <w:rPr>
          <w:color w:val="auto"/>
          <w:highlight w:val="none"/>
        </w:rPr>
        <w:t>；严禁建设畜禽养殖设施、水产养殖设施、破坏耕作层的种植业设施，以及挖塘养鱼、发展林果业等造成耕地地类改变的各类活动。</w:t>
      </w:r>
    </w:p>
    <w:p>
      <w:pPr>
        <w:pStyle w:val="4"/>
        <w:pageBreakBefore w:val="0"/>
        <w:wordWrap/>
        <w:overflowPunct/>
        <w:autoSpaceDE/>
        <w:autoSpaceDN/>
        <w:bidi w:val="0"/>
        <w:spacing w:line="530" w:lineRule="exact"/>
        <w:rPr>
          <w:color w:val="auto"/>
          <w:highlight w:val="none"/>
        </w:rPr>
      </w:pPr>
      <w:bookmarkStart w:id="143" w:name="_Toc914254452"/>
      <w:bookmarkStart w:id="144" w:name="_Toc59108543"/>
      <w:bookmarkStart w:id="145" w:name="_Toc1089731211"/>
      <w:bookmarkStart w:id="146" w:name="_Toc1382261835"/>
      <w:r>
        <w:rPr>
          <w:color w:val="auto"/>
          <w:highlight w:val="none"/>
        </w:rPr>
        <w:t>严控新增城镇建设用地</w:t>
      </w:r>
      <w:bookmarkEnd w:id="143"/>
      <w:bookmarkEnd w:id="144"/>
      <w:bookmarkEnd w:id="145"/>
      <w:bookmarkEnd w:id="146"/>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严控城镇开发边界。</w:t>
      </w:r>
      <w:r>
        <w:rPr>
          <w:color w:val="auto"/>
          <w:highlight w:val="none"/>
        </w:rPr>
        <w:t>城镇开发边界外不得进行城镇集中建设，不得规划建设各类开发区和产业园区，不得规划城镇居住用地。对于有特定选址要求的零星城镇建设用地，可在边界外布局，但不超过规划新增城镇建设用地</w:t>
      </w:r>
      <w:r>
        <w:rPr>
          <w:rFonts w:hint="eastAsia"/>
          <w:color w:val="auto"/>
          <w:highlight w:val="none"/>
          <w:lang w:val="en-US" w:eastAsia="zh-CN"/>
        </w:rPr>
        <w:t>总</w:t>
      </w:r>
      <w:r>
        <w:rPr>
          <w:color w:val="auto"/>
          <w:highlight w:val="none"/>
        </w:rPr>
        <w:t>规模的</w:t>
      </w:r>
      <w:r>
        <w:rPr>
          <w:rFonts w:ascii="Times New Roman" w:hAnsi="Times New Roman"/>
          <w:b w:val="0"/>
          <w:i w:val="0"/>
          <w:color w:val="auto"/>
          <w:highlight w:val="none"/>
        </w:rPr>
        <w:t>10</w:t>
      </w:r>
      <w:r>
        <w:rPr>
          <w:color w:val="auto"/>
          <w:highlight w:val="none"/>
        </w:rPr>
        <w:t>%，并应纳入城镇开发边界扩展倍数统筹核算，等量缩减城镇开发边界内的新增城镇建设用地。</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强化规划约束与规模控制。</w:t>
      </w:r>
      <w:r>
        <w:rPr>
          <w:color w:val="auto"/>
          <w:highlight w:val="none"/>
        </w:rPr>
        <w:t>明确增量用地预留比例，在城镇开发边界内的增量用地使用上，为“十五五”“十六五”期间至少分别留下</w:t>
      </w:r>
      <w:r>
        <w:rPr>
          <w:rFonts w:ascii="Times New Roman" w:hAnsi="Times New Roman"/>
          <w:b w:val="0"/>
          <w:i w:val="0"/>
          <w:color w:val="auto"/>
          <w:highlight w:val="none"/>
        </w:rPr>
        <w:t>35</w:t>
      </w:r>
      <w:r>
        <w:rPr>
          <w:color w:val="auto"/>
          <w:highlight w:val="none"/>
        </w:rPr>
        <w:t>%、</w:t>
      </w:r>
      <w:r>
        <w:rPr>
          <w:rFonts w:ascii="Times New Roman" w:hAnsi="Times New Roman"/>
          <w:b w:val="0"/>
          <w:i w:val="0"/>
          <w:color w:val="auto"/>
          <w:highlight w:val="none"/>
        </w:rPr>
        <w:t>25</w:t>
      </w:r>
      <w:r>
        <w:rPr>
          <w:color w:val="auto"/>
          <w:highlight w:val="none"/>
        </w:rPr>
        <w:t>%的增量用地。在年度增量用地使用规模上，至少为每年保留五年平均规模的</w:t>
      </w:r>
      <w:r>
        <w:rPr>
          <w:rFonts w:ascii="Times New Roman" w:hAnsi="Times New Roman"/>
          <w:b w:val="0"/>
          <w:i w:val="0"/>
          <w:color w:val="auto"/>
          <w:highlight w:val="none"/>
        </w:rPr>
        <w:t>80</w:t>
      </w:r>
      <w:r>
        <w:rPr>
          <w:color w:val="auto"/>
          <w:highlight w:val="none"/>
        </w:rPr>
        <w:t>%，其余部分可在年度间调剂，但不得突破分阶段总量控制。</w:t>
      </w:r>
    </w:p>
    <w:p>
      <w:pPr>
        <w:pStyle w:val="4"/>
        <w:pageBreakBefore w:val="0"/>
        <w:wordWrap/>
        <w:overflowPunct/>
        <w:autoSpaceDE/>
        <w:autoSpaceDN/>
        <w:bidi w:val="0"/>
        <w:spacing w:line="530" w:lineRule="exact"/>
        <w:rPr>
          <w:color w:val="auto"/>
          <w:highlight w:val="none"/>
        </w:rPr>
      </w:pPr>
      <w:bookmarkStart w:id="147" w:name="_Toc196567599"/>
      <w:bookmarkStart w:id="148" w:name="_Toc1371921661"/>
      <w:bookmarkStart w:id="149" w:name="_Toc629080479"/>
      <w:bookmarkStart w:id="150" w:name="_Toc1299837287"/>
      <w:r>
        <w:rPr>
          <w:color w:val="auto"/>
          <w:highlight w:val="none"/>
        </w:rPr>
        <w:t>强化土地资源管理</w:t>
      </w:r>
      <w:bookmarkEnd w:id="147"/>
      <w:bookmarkEnd w:id="148"/>
      <w:bookmarkEnd w:id="149"/>
      <w:bookmarkEnd w:id="150"/>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完善耕地占补平衡、进出平衡管理制度。</w:t>
      </w:r>
      <w:r>
        <w:rPr>
          <w:color w:val="auto"/>
          <w:highlight w:val="none"/>
        </w:rPr>
        <w:t>坚持先补后占、占一补一、占优补优的基本原则，确保耕地数量及质量。利用长春市“点状供地”政策，在乡村振兴项目中灵活规划耕地转为其他用途，按照“进出平衡”原则，通过土地整治将其他区域的园地、林地恢复为耕地，实现“小田变大田”。</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加大存量用地盘活处置力度。</w:t>
      </w:r>
      <w:r>
        <w:rPr>
          <w:color w:val="auto"/>
          <w:highlight w:val="none"/>
        </w:rPr>
        <w:t>激活闲置厂房，加快工业用地集约利用，针对绿园区闲置厂房，可通过“先租后让”“弹性年期”等供地方式，引入战略性新兴</w:t>
      </w:r>
      <w:r>
        <w:rPr>
          <w:rFonts w:hint="eastAsia"/>
          <w:color w:val="auto"/>
          <w:highlight w:val="none"/>
          <w:lang w:val="en-US" w:eastAsia="zh-CN"/>
        </w:rPr>
        <w:t>产业相关</w:t>
      </w:r>
      <w:r>
        <w:rPr>
          <w:color w:val="auto"/>
          <w:highlight w:val="none"/>
        </w:rPr>
        <w:t>企业。低效用地再开发，强化对闲置土地处理，对未按期开发的地块依法征收闲置费用或收回使用权，同时加快出让全区征而未供土地。探索集体经营性建设用地入市路径，允许村集体通过出租、入股等方式盘活集体土地资源。</w:t>
      </w:r>
    </w:p>
    <w:tbl>
      <w:tblPr>
        <w:tblStyle w:val="2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 xml:space="preserve">专栏 </w:t>
            </w:r>
            <w:r>
              <w:rPr>
                <w:color w:val="auto"/>
                <w:highlight w:val="none"/>
              </w:rPr>
              <w:fldChar w:fldCharType="begin"/>
            </w:r>
            <w:r>
              <w:rPr>
                <w:color w:val="auto"/>
                <w:highlight w:val="none"/>
              </w:rPr>
              <w:instrText xml:space="preserve"> SEQ 专栏 \* ARABIC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t>优化区域</w:t>
            </w:r>
            <w:r>
              <w:rPr>
                <w:rFonts w:hint="eastAsia"/>
                <w:color w:val="auto"/>
                <w:highlight w:val="none"/>
                <w:lang w:val="en-US" w:eastAsia="zh-CN"/>
              </w:rPr>
              <w:t>发展</w:t>
            </w:r>
            <w:r>
              <w:rPr>
                <w:color w:val="auto"/>
                <w:highlight w:val="none"/>
              </w:rPr>
              <w:t>布局重点项目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color w:val="auto"/>
                <w:highlight w:val="none"/>
              </w:rPr>
              <w:t>.现代化物流枢纽建设重点项目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color w:val="auto"/>
                <w:highlight w:val="none"/>
              </w:rPr>
              <w:t>重点推进</w:t>
            </w:r>
            <w:r>
              <w:rPr>
                <w:rFonts w:hint="eastAsia"/>
                <w:color w:val="auto"/>
                <w:highlight w:val="none"/>
              </w:rPr>
              <w:t>长春海吉星交易中心项目</w:t>
            </w:r>
            <w:r>
              <w:rPr>
                <w:color w:val="auto"/>
                <w:highlight w:val="none"/>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2</w:t>
            </w:r>
            <w:r>
              <w:rPr>
                <w:color w:val="auto"/>
                <w:highlight w:val="none"/>
              </w:rPr>
              <w:t>.综合运输通道建设重点项目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b w:val="0"/>
                <w:bCs w:val="0"/>
                <w:color w:val="auto"/>
                <w:highlight w:val="none"/>
              </w:rPr>
              <w:t>重点推进</w:t>
            </w:r>
            <w:r>
              <w:rPr>
                <w:rFonts w:hint="eastAsia"/>
                <w:b w:val="0"/>
                <w:bCs w:val="0"/>
                <w:color w:val="auto"/>
                <w:highlight w:val="none"/>
              </w:rPr>
              <w:t>长太高速公路连接线（一期）、长白公路扩建工程</w:t>
            </w:r>
            <w:r>
              <w:rPr>
                <w:b w:val="0"/>
                <w:bCs w:val="0"/>
                <w:color w:val="auto"/>
                <w:highlight w:val="none"/>
              </w:rPr>
              <w:t>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3</w:t>
            </w:r>
            <w:r>
              <w:rPr>
                <w:color w:val="auto"/>
                <w:highlight w:val="none"/>
              </w:rPr>
              <w:t>.西部先进制造走廊建设重点项目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重点推进重点街路改造工程、城中村缆线管廊改造工程、小五环建设工程、新凯河流域生态治理工程等。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4</w:t>
            </w:r>
            <w:r>
              <w:rPr>
                <w:color w:val="auto"/>
                <w:highlight w:val="none"/>
              </w:rPr>
              <w:t>.</w:t>
            </w:r>
            <w:r>
              <w:rPr>
                <w:rFonts w:hint="eastAsia"/>
                <w:color w:val="auto"/>
                <w:highlight w:val="none"/>
              </w:rPr>
              <w:t>航博城</w:t>
            </w:r>
            <w:r>
              <w:rPr>
                <w:color w:val="auto"/>
                <w:highlight w:val="none"/>
              </w:rPr>
              <w:t>核心引擎片区基础设施及产业项目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片区内的道路、供水、供电、通信等高标准基础设施建设。吸引社会资本投资建设航空主题文旅综合体、航空科技研发基地。</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5</w:t>
            </w:r>
            <w:r>
              <w:rPr>
                <w:color w:val="auto"/>
                <w:highlight w:val="none"/>
              </w:rPr>
              <w:t>.西客站现代服务业集聚区项目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建设高端商贸综合体、五星级酒店、甲级写字楼。引入金融科技、法律会计等专业服务机构。配套建设文化中心、国际医院、体育公园等公共服务设施。</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6</w:t>
            </w:r>
            <w:r>
              <w:rPr>
                <w:color w:val="auto"/>
                <w:highlight w:val="none"/>
              </w:rPr>
              <w:t>.</w:t>
            </w:r>
            <w:r>
              <w:rPr>
                <w:rFonts w:hint="eastAsia" w:ascii="仿宋_GB2312"/>
                <w:color w:val="auto"/>
                <w:highlight w:val="none"/>
              </w:rPr>
              <w:t>“</w:t>
            </w:r>
            <w:r>
              <w:rPr>
                <w:color w:val="auto"/>
                <w:highlight w:val="none"/>
              </w:rPr>
              <w:t>两车</w:t>
            </w:r>
            <w:r>
              <w:rPr>
                <w:rFonts w:ascii="仿宋_GB2312"/>
                <w:color w:val="auto"/>
                <w:highlight w:val="none"/>
              </w:rPr>
              <w:t>”</w:t>
            </w:r>
            <w:r>
              <w:rPr>
                <w:color w:val="auto"/>
                <w:highlight w:val="none"/>
              </w:rPr>
              <w:t>装备制造集聚枢纽升级项目</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rPr>
              <w:t>聚焦新材料、新能源关键零部件。工业旅游精品线路打造，园区智慧化、绿色化改造。</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7</w:t>
            </w:r>
            <w:r>
              <w:rPr>
                <w:color w:val="auto"/>
                <w:highlight w:val="none"/>
              </w:rPr>
              <w:t>.农业现代化项目</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rPr>
              <w:t>智慧农业基地</w:t>
            </w:r>
            <w:r>
              <w:rPr>
                <w:rFonts w:hint="eastAsia" w:ascii="Times New Roman" w:hAnsi="Times New Roman"/>
                <w:color w:val="auto"/>
                <w:highlight w:val="none"/>
                <w:lang w:eastAsia="zh-CN"/>
              </w:rPr>
              <w:t>，</w:t>
            </w:r>
            <w:r>
              <w:rPr>
                <w:rFonts w:ascii="Times New Roman" w:hAnsi="Times New Roman"/>
                <w:color w:val="auto"/>
                <w:highlight w:val="none"/>
              </w:rPr>
              <w:t>推广无人机植保、物联网监测等智慧农业技术。香瓜、净珠葡萄</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君子兰</w:t>
            </w:r>
            <w:r>
              <w:rPr>
                <w:rFonts w:ascii="Times New Roman" w:hAnsi="Times New Roman"/>
                <w:color w:val="auto"/>
                <w:highlight w:val="none"/>
              </w:rPr>
              <w:t>等地理标志品牌提升工程，建设预冷、仓储、冷链物流设施。发展休闲农业与乡村旅游，建设田园综合体。</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8</w:t>
            </w:r>
            <w:r>
              <w:rPr>
                <w:color w:val="auto"/>
                <w:highlight w:val="none"/>
              </w:rPr>
              <w:t>.皓月国际生态肉牛小镇项目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肉牛精深加工园，拓展预制菜、生物制药等高附加值产品。研发中心建设，提升科技含量。肉牛文化体验馆、健康食品展示中心建设，发展工业旅游。</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9</w:t>
            </w:r>
            <w:r>
              <w:rPr>
                <w:color w:val="auto"/>
                <w:highlight w:val="none"/>
              </w:rPr>
              <w:t>.雁鸣湖生态康养基地项目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生态修复与景观提升，治理雁鸣湖水体，建设环湖绿道和湿地公园。引入高端医养结合机构、康养公寓、康复医院。配套建设主题商业街、自然研学营地、水上运动中心。</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10</w:t>
            </w:r>
            <w:r>
              <w:rPr>
                <w:color w:val="auto"/>
                <w:highlight w:val="none"/>
              </w:rPr>
              <w:t>.老城综合服务区品质提升项目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color w:val="auto"/>
                <w:highlight w:val="none"/>
              </w:rPr>
              <w:t>重点实施道路交通微循环改造、街头绿地增建、历史文脉挖掘展示、社区服务中心升级等</w:t>
            </w:r>
            <w:r>
              <w:rPr>
                <w:rFonts w:hint="eastAsia" w:ascii="仿宋_GB2312" w:hAnsi="Times New Roman"/>
                <w:color w:val="auto"/>
                <w:highlight w:val="none"/>
              </w:rPr>
              <w:t>“</w:t>
            </w:r>
            <w:r>
              <w:rPr>
                <w:rFonts w:ascii="Times New Roman" w:hAnsi="Times New Roman"/>
                <w:color w:val="auto"/>
                <w:highlight w:val="none"/>
              </w:rPr>
              <w:t>小而美</w:t>
            </w:r>
            <w:r>
              <w:rPr>
                <w:rFonts w:ascii="仿宋_GB2312" w:hAnsi="Times New Roman"/>
                <w:color w:val="auto"/>
                <w:highlight w:val="none"/>
              </w:rPr>
              <w:t>”</w:t>
            </w:r>
            <w:r>
              <w:rPr>
                <w:rFonts w:ascii="Times New Roman" w:hAnsi="Times New Roman"/>
                <w:color w:val="auto"/>
                <w:highlight w:val="none"/>
              </w:rPr>
              <w:t>的提质项目。</w:t>
            </w:r>
          </w:p>
        </w:tc>
      </w:tr>
    </w:tbl>
    <w:p>
      <w:pPr>
        <w:pStyle w:val="19"/>
        <w:pageBreakBefore w:val="0"/>
        <w:wordWrap/>
        <w:overflowPunct/>
        <w:autoSpaceDE/>
        <w:autoSpaceDN/>
        <w:bidi w:val="0"/>
        <w:spacing w:line="530" w:lineRule="exact"/>
        <w:rPr>
          <w:rFonts w:hint="eastAsia"/>
          <w:color w:val="auto"/>
          <w:highlight w:val="none"/>
          <w:lang w:val="en-US" w:eastAsia="zh-CN"/>
        </w:rPr>
      </w:pPr>
    </w:p>
    <w:p>
      <w:pPr>
        <w:pStyle w:val="2"/>
        <w:pageBreakBefore w:val="0"/>
        <w:wordWrap/>
        <w:overflowPunct/>
        <w:autoSpaceDE/>
        <w:autoSpaceDN/>
        <w:bidi w:val="0"/>
        <w:spacing w:line="530" w:lineRule="exact"/>
        <w:rPr>
          <w:rFonts w:hint="default"/>
          <w:color w:val="auto"/>
          <w:highlight w:val="none"/>
          <w:lang w:val="en-US"/>
        </w:rPr>
        <w:sectPr>
          <w:footerReference r:id="rId4" w:type="default"/>
          <w:pgSz w:w="11906" w:h="16838"/>
          <w:pgMar w:top="1440" w:right="1800" w:bottom="1440" w:left="1800" w:header="720" w:footer="720" w:gutter="0"/>
          <w:pgNumType w:fmt="decimal" w:start="1"/>
          <w:cols w:space="425" w:num="1"/>
          <w:docGrid w:type="lines" w:linePitch="312" w:charSpace="0"/>
        </w:sectPr>
      </w:pPr>
      <w:bookmarkStart w:id="151" w:name="_Toc881787307"/>
      <w:bookmarkStart w:id="152" w:name="_Toc893616372"/>
      <w:bookmarkStart w:id="153" w:name="_Toc8599697"/>
    </w:p>
    <w:p>
      <w:pPr>
        <w:pStyle w:val="2"/>
        <w:pageBreakBefore w:val="0"/>
        <w:wordWrap/>
        <w:overflowPunct/>
        <w:autoSpaceDE/>
        <w:autoSpaceDN/>
        <w:bidi w:val="0"/>
        <w:spacing w:line="530" w:lineRule="exact"/>
        <w:rPr>
          <w:rFonts w:hint="default" w:ascii="方正小标宋简体" w:hAnsi="方正小标宋简体" w:eastAsia="方正小标宋简体" w:cs="方正小标宋简体"/>
          <w:color w:val="auto"/>
          <w:highlight w:val="none"/>
          <w:lang w:val="en-US"/>
        </w:rPr>
      </w:pPr>
      <w:bookmarkStart w:id="154" w:name="_Toc1455980976"/>
      <w:bookmarkStart w:id="155" w:name="_Toc767470570"/>
      <w:bookmarkStart w:id="156" w:name="_Toc110845034"/>
      <w:bookmarkStart w:id="157" w:name="_Toc1912076115"/>
      <w:bookmarkStart w:id="158" w:name="_Toc1704326209"/>
      <w:r>
        <w:rPr>
          <w:rFonts w:hint="eastAsia" w:ascii="方正小标宋简体" w:hAnsi="方正小标宋简体" w:eastAsia="方正小标宋简体" w:cs="方正小标宋简体"/>
          <w:color w:val="auto"/>
          <w:highlight w:val="none"/>
          <w:lang w:val="en-US" w:eastAsia="zh-CN"/>
        </w:rPr>
        <w:t>加快推进航博城建设，打造区域发展新增长极</w:t>
      </w:r>
      <w:bookmarkEnd w:id="151"/>
      <w:bookmarkEnd w:id="152"/>
      <w:bookmarkEnd w:id="153"/>
      <w:bookmarkEnd w:id="154"/>
      <w:bookmarkEnd w:id="155"/>
      <w:bookmarkEnd w:id="156"/>
      <w:bookmarkEnd w:id="157"/>
      <w:bookmarkEnd w:id="158"/>
    </w:p>
    <w:p>
      <w:pPr>
        <w:pStyle w:val="19"/>
        <w:pageBreakBefore w:val="0"/>
        <w:wordWrap/>
        <w:overflowPunct/>
        <w:autoSpaceDE/>
        <w:autoSpaceDN/>
        <w:bidi w:val="0"/>
        <w:spacing w:line="530" w:lineRule="exact"/>
        <w:rPr>
          <w:rFonts w:hint="default"/>
          <w:color w:val="auto"/>
          <w:highlight w:val="none"/>
          <w:lang w:val="en-US"/>
        </w:rPr>
      </w:pPr>
      <w:r>
        <w:rPr>
          <w:color w:val="auto"/>
          <w:highlight w:val="none"/>
          <w:lang w:val="en-US" w:eastAsia="zh-CN"/>
        </w:rPr>
        <w:t>以航博城为核心载体，统筹推进航空科技创新、低空经济布局与航空文化品牌塑造，通过搭建科研平台、引育产业人才、深化“航空+”融合、优化空间布局与基础设施，构建产学研用深度融合的航空产业生态，打造辐射区域的航空文化新高地与经济增长极。</w:t>
      </w:r>
    </w:p>
    <w:p>
      <w:pPr>
        <w:pStyle w:val="3"/>
        <w:pageBreakBefore w:val="0"/>
        <w:wordWrap/>
        <w:overflowPunct/>
        <w:autoSpaceDE/>
        <w:autoSpaceDN/>
        <w:bidi w:val="0"/>
        <w:spacing w:line="530" w:lineRule="exact"/>
        <w:rPr>
          <w:rFonts w:hint="default"/>
          <w:color w:val="auto"/>
          <w:highlight w:val="none"/>
          <w:lang w:val="en-US" w:eastAsia="zh-CN"/>
        </w:rPr>
      </w:pPr>
      <w:bookmarkStart w:id="159" w:name="_Toc1091086108"/>
      <w:bookmarkStart w:id="160" w:name="_Toc414620802"/>
      <w:bookmarkStart w:id="161" w:name="_Toc1657220733"/>
      <w:bookmarkStart w:id="162" w:name="_Toc1473710977"/>
      <w:bookmarkStart w:id="163" w:name="_Toc96106067"/>
      <w:bookmarkStart w:id="164" w:name="_Toc653703130"/>
      <w:bookmarkStart w:id="165" w:name="_Toc1317971097"/>
      <w:bookmarkStart w:id="166" w:name="_Toc1104164489"/>
      <w:r>
        <w:rPr>
          <w:rFonts w:hint="eastAsia"/>
          <w:color w:val="auto"/>
          <w:highlight w:val="none"/>
          <w:lang w:val="en-US" w:eastAsia="zh-CN"/>
        </w:rPr>
        <w:t>构建创新驱动的产业生态</w:t>
      </w:r>
      <w:bookmarkEnd w:id="159"/>
      <w:bookmarkEnd w:id="160"/>
      <w:bookmarkEnd w:id="161"/>
      <w:bookmarkEnd w:id="162"/>
      <w:bookmarkEnd w:id="163"/>
      <w:bookmarkEnd w:id="164"/>
      <w:bookmarkEnd w:id="165"/>
      <w:bookmarkEnd w:id="166"/>
    </w:p>
    <w:p>
      <w:pPr>
        <w:pStyle w:val="4"/>
        <w:pageBreakBefore w:val="0"/>
        <w:wordWrap/>
        <w:overflowPunct/>
        <w:autoSpaceDE/>
        <w:autoSpaceDN/>
        <w:bidi w:val="0"/>
        <w:spacing w:line="530" w:lineRule="exact"/>
        <w:rPr>
          <w:color w:val="auto"/>
          <w:highlight w:val="none"/>
        </w:rPr>
      </w:pPr>
      <w:bookmarkStart w:id="167" w:name="_Toc2094868346"/>
      <w:bookmarkStart w:id="168" w:name="_Toc346965525"/>
      <w:bookmarkStart w:id="169" w:name="_Toc45957941"/>
      <w:bookmarkStart w:id="170" w:name="_Toc1731489588"/>
      <w:r>
        <w:rPr>
          <w:rFonts w:hint="eastAsia"/>
          <w:color w:val="auto"/>
          <w:highlight w:val="none"/>
        </w:rPr>
        <w:t>积极打造航空创新生态</w:t>
      </w:r>
      <w:bookmarkEnd w:id="167"/>
      <w:bookmarkEnd w:id="168"/>
      <w:bookmarkEnd w:id="169"/>
      <w:bookmarkEnd w:id="170"/>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加快搭建航空科创平台。</w:t>
      </w:r>
      <w:r>
        <w:rPr>
          <w:rFonts w:ascii="Times New Roman" w:hAnsi="Times New Roman" w:cs="Times New Roman"/>
          <w:color w:val="auto"/>
          <w:szCs w:val="32"/>
          <w:highlight w:val="none"/>
        </w:rPr>
        <w:t>聚焦航空发动机、航电系统等核心技术攻关，积极推动企业技术中心与研发实验室建设，引入国内、省内、市内航空“大</w:t>
      </w:r>
      <w:r>
        <w:rPr>
          <w:rFonts w:hint="eastAsia" w:ascii="Times New Roman" w:hAnsi="Times New Roman" w:cs="Times New Roman"/>
          <w:color w:val="auto"/>
          <w:szCs w:val="32"/>
          <w:highlight w:val="none"/>
          <w:lang w:val="en-US" w:eastAsia="zh-CN"/>
        </w:rPr>
        <w:t>院</w:t>
      </w:r>
      <w:r>
        <w:rPr>
          <w:rFonts w:ascii="Times New Roman" w:hAnsi="Times New Roman" w:cs="Times New Roman"/>
          <w:color w:val="auto"/>
          <w:szCs w:val="32"/>
          <w:highlight w:val="none"/>
        </w:rPr>
        <w:t>”“大所”科研力量，申建重点实验室，重点布局通用航空器研发与改装、航空数字化与智能技术研发、航空技术转化与交叉应用研发等产业，为航博城置入“智慧”内核。提升科技成果转化能力，完善“概念验证+中试基地+产业园区”科技成果转化模式，创新科技成果转化</w:t>
      </w:r>
      <w:r>
        <w:rPr>
          <w:rFonts w:hint="eastAsia" w:ascii="Times New Roman" w:hAnsi="Times New Roman" w:cs="Times New Roman"/>
          <w:color w:val="auto"/>
          <w:szCs w:val="32"/>
          <w:highlight w:val="none"/>
          <w:lang w:val="en-US" w:eastAsia="zh-CN"/>
        </w:rPr>
        <w:t>激励</w:t>
      </w:r>
      <w:r>
        <w:rPr>
          <w:rFonts w:ascii="Times New Roman" w:hAnsi="Times New Roman" w:cs="Times New Roman"/>
          <w:color w:val="auto"/>
          <w:szCs w:val="32"/>
          <w:highlight w:val="none"/>
        </w:rPr>
        <w:t>机制，激发科技成果转化活力。</w:t>
      </w:r>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积极引进科技创新服务。</w:t>
      </w:r>
      <w:r>
        <w:rPr>
          <w:rFonts w:ascii="Times New Roman" w:hAnsi="Times New Roman" w:cs="Times New Roman"/>
          <w:color w:val="auto"/>
          <w:szCs w:val="32"/>
          <w:highlight w:val="none"/>
        </w:rPr>
        <w:t>推进信息交流、技术咨询、科技评估和科技鉴证等科创服务业发展，</w:t>
      </w:r>
      <w:r>
        <w:rPr>
          <w:rFonts w:hint="eastAsia" w:ascii="Times New Roman" w:hAnsi="Times New Roman" w:cs="Times New Roman"/>
          <w:color w:val="auto"/>
          <w:szCs w:val="32"/>
          <w:highlight w:val="none"/>
          <w:lang w:val="en-US" w:eastAsia="zh-CN"/>
        </w:rPr>
        <w:t>培育</w:t>
      </w:r>
      <w:r>
        <w:rPr>
          <w:rFonts w:ascii="Times New Roman" w:hAnsi="Times New Roman" w:cs="Times New Roman"/>
          <w:color w:val="auto"/>
          <w:szCs w:val="32"/>
          <w:highlight w:val="none"/>
        </w:rPr>
        <w:t>科技成果转化中介服务</w:t>
      </w:r>
      <w:r>
        <w:rPr>
          <w:rFonts w:hint="eastAsia" w:ascii="Times New Roman" w:hAnsi="Times New Roman" w:cs="Times New Roman"/>
          <w:color w:val="auto"/>
          <w:szCs w:val="32"/>
          <w:highlight w:val="none"/>
          <w:lang w:val="en-US" w:eastAsia="zh-CN"/>
        </w:rPr>
        <w:t>机构</w:t>
      </w:r>
      <w:r>
        <w:rPr>
          <w:rFonts w:ascii="Times New Roman" w:hAnsi="Times New Roman" w:cs="Times New Roman"/>
          <w:color w:val="auto"/>
          <w:szCs w:val="32"/>
          <w:highlight w:val="none"/>
        </w:rPr>
        <w:t>。依托中国（长春）知识产权保护中心，推动航博城航空</w:t>
      </w:r>
      <w:r>
        <w:rPr>
          <w:rFonts w:hint="eastAsia" w:ascii="Times New Roman" w:hAnsi="Times New Roman" w:cs="Times New Roman"/>
          <w:color w:val="auto"/>
          <w:szCs w:val="32"/>
          <w:highlight w:val="none"/>
          <w:lang w:val="en-US" w:eastAsia="zh-CN"/>
        </w:rPr>
        <w:t>知识产权</w:t>
      </w:r>
      <w:r>
        <w:rPr>
          <w:rFonts w:ascii="Times New Roman" w:hAnsi="Times New Roman" w:cs="Times New Roman"/>
          <w:color w:val="auto"/>
          <w:szCs w:val="32"/>
          <w:highlight w:val="none"/>
        </w:rPr>
        <w:t>保护分支机构建立，完善预审、确权、维权协同保护机制，提供纠纷调解、侵权判定、法律咨询一站式服务。引入金融机构入驻，提供航空领域投融资等金融服务，</w:t>
      </w:r>
      <w:r>
        <w:rPr>
          <w:rFonts w:hint="eastAsia" w:ascii="Times New Roman" w:hAnsi="Times New Roman" w:cs="Times New Roman"/>
          <w:color w:val="auto"/>
          <w:szCs w:val="32"/>
          <w:highlight w:val="none"/>
          <w:lang w:val="en-US" w:eastAsia="zh-CN"/>
        </w:rPr>
        <w:t>为</w:t>
      </w:r>
      <w:r>
        <w:rPr>
          <w:rFonts w:ascii="Times New Roman" w:hAnsi="Times New Roman" w:cs="Times New Roman"/>
          <w:color w:val="auto"/>
          <w:szCs w:val="32"/>
          <w:highlight w:val="none"/>
        </w:rPr>
        <w:t>航空产业发展提供资金</w:t>
      </w:r>
      <w:r>
        <w:rPr>
          <w:rFonts w:hint="eastAsia" w:ascii="Times New Roman" w:hAnsi="Times New Roman" w:cs="Times New Roman"/>
          <w:color w:val="auto"/>
          <w:szCs w:val="32"/>
          <w:highlight w:val="none"/>
          <w:lang w:val="en-US" w:eastAsia="zh-CN"/>
        </w:rPr>
        <w:t>支撑</w:t>
      </w:r>
      <w:r>
        <w:rPr>
          <w:rFonts w:ascii="Times New Roman" w:hAnsi="Times New Roman" w:cs="Times New Roman"/>
          <w:color w:val="auto"/>
          <w:szCs w:val="32"/>
          <w:highlight w:val="none"/>
        </w:rPr>
        <w:t>。</w:t>
      </w:r>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优化科创人才服务环境。</w:t>
      </w:r>
      <w:r>
        <w:rPr>
          <w:rFonts w:ascii="Times New Roman" w:hAnsi="Times New Roman" w:cs="Times New Roman"/>
          <w:color w:val="auto"/>
          <w:szCs w:val="32"/>
          <w:highlight w:val="none"/>
        </w:rPr>
        <w:t>加强航空产业重点领域人才引进及培育，加大紧缺人才招引力度，深化产教融合、科教融汇，推动整合省、市航空领域科教资源，加快航空关键核心技术人才培育。推动打造航空创新人才社区，</w:t>
      </w:r>
      <w:r>
        <w:rPr>
          <w:rFonts w:hint="eastAsia" w:ascii="Times New Roman" w:hAnsi="Times New Roman" w:cs="Times New Roman"/>
          <w:color w:val="auto"/>
          <w:szCs w:val="32"/>
          <w:highlight w:val="none"/>
          <w:lang w:val="en-US" w:eastAsia="zh-CN"/>
        </w:rPr>
        <w:t>聚焦</w:t>
      </w:r>
      <w:r>
        <w:rPr>
          <w:rFonts w:ascii="Times New Roman" w:hAnsi="Times New Roman" w:cs="Times New Roman"/>
          <w:color w:val="auto"/>
          <w:szCs w:val="32"/>
          <w:highlight w:val="none"/>
        </w:rPr>
        <w:t>人才需求、</w:t>
      </w:r>
      <w:r>
        <w:rPr>
          <w:rFonts w:hint="eastAsia" w:ascii="Times New Roman" w:hAnsi="Times New Roman" w:cs="Times New Roman"/>
          <w:color w:val="auto"/>
          <w:szCs w:val="32"/>
          <w:highlight w:val="none"/>
          <w:lang w:val="en-US" w:eastAsia="zh-CN"/>
        </w:rPr>
        <w:t>优化服务流程</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提升服务效能</w:t>
      </w:r>
      <w:r>
        <w:rPr>
          <w:rFonts w:ascii="Times New Roman" w:hAnsi="Times New Roman" w:cs="Times New Roman"/>
          <w:color w:val="auto"/>
          <w:szCs w:val="32"/>
          <w:highlight w:val="none"/>
        </w:rPr>
        <w:t>，为科创人才提供居住、就业、创业、交流、教育、医疗一体化服务，</w:t>
      </w:r>
      <w:r>
        <w:rPr>
          <w:rFonts w:ascii="Times New Roman" w:hAnsi="Times New Roman" w:cs="Times New Roman"/>
          <w:color w:val="auto"/>
          <w:szCs w:val="32"/>
          <w:highlight w:val="none"/>
          <w:lang w:bidi="ar"/>
        </w:rPr>
        <w:t>打造创新人才集聚区</w:t>
      </w:r>
      <w:r>
        <w:rPr>
          <w:rFonts w:ascii="Times New Roman" w:hAnsi="Times New Roman" w:cs="Times New Roman"/>
          <w:color w:val="auto"/>
          <w:szCs w:val="32"/>
          <w:highlight w:val="none"/>
        </w:rPr>
        <w:t>。</w:t>
      </w:r>
    </w:p>
    <w:p>
      <w:pPr>
        <w:pStyle w:val="4"/>
        <w:pageBreakBefore w:val="0"/>
        <w:wordWrap/>
        <w:overflowPunct/>
        <w:autoSpaceDE/>
        <w:autoSpaceDN/>
        <w:bidi w:val="0"/>
        <w:spacing w:line="530" w:lineRule="exact"/>
        <w:rPr>
          <w:color w:val="auto"/>
          <w:highlight w:val="none"/>
        </w:rPr>
      </w:pPr>
      <w:bookmarkStart w:id="171" w:name="_Toc457898657"/>
      <w:bookmarkStart w:id="172" w:name="_Toc1031477070"/>
      <w:bookmarkStart w:id="173" w:name="_Toc594605019"/>
      <w:bookmarkStart w:id="174" w:name="_Toc1468485114"/>
      <w:r>
        <w:rPr>
          <w:rFonts w:hint="eastAsia"/>
          <w:color w:val="auto"/>
          <w:highlight w:val="none"/>
        </w:rPr>
        <w:t>推动布局航空制造产业</w:t>
      </w:r>
      <w:bookmarkEnd w:id="171"/>
      <w:bookmarkEnd w:id="172"/>
      <w:bookmarkEnd w:id="173"/>
      <w:bookmarkEnd w:id="174"/>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lang w:bidi="ar"/>
        </w:rPr>
        <w:t>积极引进航空装备制造产业。</w:t>
      </w:r>
      <w:r>
        <w:rPr>
          <w:rFonts w:ascii="Times New Roman" w:hAnsi="Times New Roman" w:cs="Times New Roman"/>
          <w:color w:val="auto"/>
          <w:szCs w:val="32"/>
          <w:highlight w:val="none"/>
        </w:rPr>
        <w:t>依托绿园区装备制造产业优势，支持区内企业与航空工业集团、中国民用航空局等航空企业深化合作，推进航空同源技术产品协同发展。聚焦航空高附加值产业，大力发展航空电子电气电机、航空发动机、航空内饰、航空新材料、航空结构件精密制造等产业，拓展航空中试、检测、维修与再制造等业务，推动航空产业创新研发—装备制造—运营维保全链条发展，引进、培育一批航空装备制造领域优质企业，打造长春航空产业增长极。</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lang w:bidi="ar"/>
        </w:rPr>
      </w:pPr>
      <w:r>
        <w:rPr>
          <w:rFonts w:ascii="Times New Roman" w:hAnsi="Times New Roman" w:cs="Times New Roman"/>
          <w:b/>
          <w:bCs/>
          <w:color w:val="auto"/>
          <w:szCs w:val="32"/>
          <w:highlight w:val="none"/>
          <w:lang w:bidi="ar"/>
        </w:rPr>
        <w:t>全力培育低空经济。</w:t>
      </w:r>
      <w:r>
        <w:rPr>
          <w:rFonts w:ascii="Times New Roman" w:hAnsi="Times New Roman" w:cs="Times New Roman"/>
          <w:color w:val="auto"/>
          <w:szCs w:val="32"/>
          <w:highlight w:val="none"/>
          <w:lang w:bidi="ar"/>
        </w:rPr>
        <w:t>重点推进低空装备制造领域发展，</w:t>
      </w:r>
      <w:r>
        <w:rPr>
          <w:rFonts w:hint="eastAsia" w:ascii="Times New Roman" w:hAnsi="Times New Roman" w:cs="Times New Roman"/>
          <w:color w:val="auto"/>
          <w:szCs w:val="32"/>
          <w:highlight w:val="none"/>
          <w:lang w:val="en-US" w:eastAsia="zh-CN" w:bidi="ar"/>
        </w:rPr>
        <w:t>依托</w:t>
      </w:r>
      <w:r>
        <w:rPr>
          <w:rFonts w:ascii="Times New Roman" w:hAnsi="Times New Roman" w:cs="Times New Roman"/>
          <w:color w:val="auto"/>
          <w:szCs w:val="32"/>
          <w:highlight w:val="none"/>
          <w:lang w:bidi="ar"/>
        </w:rPr>
        <w:t>绿园经济开发区加快推动</w:t>
      </w:r>
      <w:r>
        <w:rPr>
          <w:color w:val="auto"/>
          <w:szCs w:val="32"/>
          <w:highlight w:val="none"/>
        </w:rPr>
        <w:t>低空装备产业集中区</w:t>
      </w:r>
      <w:r>
        <w:rPr>
          <w:rFonts w:ascii="Times New Roman" w:hAnsi="Times New Roman" w:cs="Times New Roman"/>
          <w:color w:val="auto"/>
          <w:szCs w:val="32"/>
          <w:highlight w:val="none"/>
          <w:lang w:bidi="ar"/>
        </w:rPr>
        <w:t>建设，</w:t>
      </w:r>
      <w:r>
        <w:rPr>
          <w:rFonts w:ascii="Times New Roman" w:hAnsi="Times New Roman" w:cs="Times New Roman"/>
          <w:color w:val="auto"/>
          <w:szCs w:val="32"/>
          <w:highlight w:val="none"/>
        </w:rPr>
        <w:t>引入长航时、高载荷、耐低温的工业级无人机制造</w:t>
      </w:r>
      <w:r>
        <w:rPr>
          <w:rFonts w:hint="eastAsia" w:ascii="Times New Roman" w:hAnsi="Times New Roman" w:cs="Times New Roman"/>
          <w:color w:val="auto"/>
          <w:szCs w:val="32"/>
          <w:highlight w:val="none"/>
          <w:lang w:val="en-US" w:eastAsia="zh-CN"/>
        </w:rPr>
        <w:t>企业</w:t>
      </w:r>
      <w:r>
        <w:rPr>
          <w:rFonts w:ascii="Times New Roman" w:hAnsi="Times New Roman" w:cs="Times New Roman"/>
          <w:color w:val="auto"/>
          <w:szCs w:val="32"/>
          <w:highlight w:val="none"/>
        </w:rPr>
        <w:t>，</w:t>
      </w:r>
      <w:r>
        <w:rPr>
          <w:rFonts w:ascii="Times New Roman" w:hAnsi="Times New Roman" w:cs="Times New Roman"/>
          <w:color w:val="auto"/>
          <w:szCs w:val="32"/>
          <w:highlight w:val="none"/>
          <w:lang w:bidi="ar"/>
        </w:rPr>
        <w:t>围绕无人机整机制造、复合材料、传感器、飞控系统等关键领域引进头部企业，推动</w:t>
      </w:r>
      <w:r>
        <w:rPr>
          <w:rFonts w:ascii="Times New Roman" w:hAnsi="Times New Roman" w:cs="Times New Roman"/>
          <w:color w:val="auto"/>
          <w:szCs w:val="32"/>
          <w:highlight w:val="none"/>
        </w:rPr>
        <w:t>布局低空飞行器中试基地、无人机</w:t>
      </w:r>
      <w:r>
        <w:rPr>
          <w:rFonts w:ascii="Times New Roman" w:hAnsi="Times New Roman" w:cs="Times New Roman"/>
          <w:b w:val="0"/>
          <w:i w:val="0"/>
          <w:color w:val="auto"/>
          <w:szCs w:val="32"/>
          <w:highlight w:val="none"/>
        </w:rPr>
        <w:t>4</w:t>
      </w:r>
      <w:r>
        <w:rPr>
          <w:rFonts w:ascii="Times New Roman" w:hAnsi="Times New Roman" w:cs="Times New Roman"/>
          <w:color w:val="auto"/>
          <w:szCs w:val="32"/>
          <w:highlight w:val="none"/>
        </w:rPr>
        <w:t>S店及维保中心，</w:t>
      </w:r>
      <w:r>
        <w:rPr>
          <w:rFonts w:ascii="Times New Roman" w:hAnsi="Times New Roman" w:cs="Times New Roman"/>
          <w:color w:val="auto"/>
          <w:szCs w:val="32"/>
          <w:highlight w:val="none"/>
          <w:lang w:bidi="ar"/>
        </w:rPr>
        <w:t>完善无人机全产业链建设。强化无人机场景化应用，聚焦政务飞行、应急保障、安防安保、物流运输、载人交通等领域，重点围绕航展、大型企业及乡村地区推进无人机在文旅、工业物流、农业服务等场景应用。拓展无人机</w:t>
      </w:r>
      <w:r>
        <w:rPr>
          <w:rFonts w:hint="eastAsia" w:ascii="Times New Roman" w:hAnsi="Times New Roman" w:cs="Times New Roman"/>
          <w:color w:val="auto"/>
          <w:szCs w:val="32"/>
          <w:highlight w:val="none"/>
          <w:lang w:eastAsia="zh-CN" w:bidi="ar"/>
        </w:rPr>
        <w:t>飞手</w:t>
      </w:r>
      <w:r>
        <w:rPr>
          <w:rFonts w:ascii="Times New Roman" w:hAnsi="Times New Roman" w:cs="Times New Roman"/>
          <w:color w:val="auto"/>
          <w:szCs w:val="32"/>
          <w:highlight w:val="none"/>
          <w:lang w:bidi="ar"/>
        </w:rPr>
        <w:t>培训领域建设，提供教育培训、标准制定、考核评估、年检等服务，建设无人机驾驶人才输出地。</w:t>
      </w:r>
    </w:p>
    <w:p>
      <w:pPr>
        <w:pStyle w:val="19"/>
        <w:pageBreakBefore w:val="0"/>
        <w:wordWrap/>
        <w:overflowPunct/>
        <w:autoSpaceDE/>
        <w:autoSpaceDN/>
        <w:bidi w:val="0"/>
        <w:spacing w:line="530" w:lineRule="exact"/>
        <w:rPr>
          <w:rFonts w:hint="default" w:ascii="Times New Roman" w:hAnsi="Times New Roman" w:cs="Times New Roman"/>
          <w:b w:val="0"/>
          <w:bCs w:val="0"/>
          <w:color w:val="auto"/>
          <w:szCs w:val="32"/>
          <w:highlight w:val="none"/>
        </w:rPr>
      </w:pPr>
      <w:r>
        <w:rPr>
          <w:rFonts w:ascii="Times New Roman" w:hAnsi="Times New Roman" w:cs="Times New Roman"/>
          <w:b/>
          <w:bCs/>
          <w:color w:val="auto"/>
          <w:szCs w:val="32"/>
          <w:highlight w:val="none"/>
          <w:lang w:bidi="ar"/>
        </w:rPr>
        <w:t>延伸发展航空特种车辆产业。</w:t>
      </w:r>
      <w:r>
        <w:rPr>
          <w:rFonts w:ascii="Times New Roman" w:hAnsi="Times New Roman" w:cs="Times New Roman"/>
          <w:color w:val="auto"/>
          <w:szCs w:val="32"/>
          <w:highlight w:val="none"/>
          <w:lang w:bidi="ar"/>
        </w:rPr>
        <w:t>充分发挥绿园区汽车零部件配套及轨道客车产业优势，</w:t>
      </w:r>
      <w:r>
        <w:rPr>
          <w:rFonts w:ascii="Times New Roman" w:hAnsi="Times New Roman" w:cs="Times New Roman"/>
          <w:color w:val="auto"/>
          <w:szCs w:val="32"/>
          <w:highlight w:val="none"/>
        </w:rPr>
        <w:t>整合区内优质产业资源，推动航空特种车辆产业发展。依托</w:t>
      </w:r>
      <w:r>
        <w:rPr>
          <w:rFonts w:hint="eastAsia" w:ascii="Times New Roman" w:hAnsi="Times New Roman" w:cs="Times New Roman"/>
          <w:color w:val="auto"/>
          <w:szCs w:val="32"/>
          <w:highlight w:val="none"/>
          <w:lang w:eastAsia="zh-CN"/>
        </w:rPr>
        <w:t>绿园经济开发区（南区）</w:t>
      </w:r>
      <w:r>
        <w:rPr>
          <w:rFonts w:ascii="Times New Roman" w:hAnsi="Times New Roman" w:cs="Times New Roman"/>
          <w:color w:val="auto"/>
          <w:szCs w:val="32"/>
          <w:highlight w:val="none"/>
        </w:rPr>
        <w:t>打造航空特种车辆产业集中区，重点发展廊桥车、航空加油车</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登机车、飞机电源车、飞机牵引车等整车产品及相关配套产品，全面提升通用航空服务保障能力。</w:t>
      </w:r>
    </w:p>
    <w:p>
      <w:pPr>
        <w:pStyle w:val="4"/>
        <w:pageBreakBefore w:val="0"/>
        <w:wordWrap/>
        <w:overflowPunct/>
        <w:autoSpaceDE/>
        <w:autoSpaceDN/>
        <w:bidi w:val="0"/>
        <w:spacing w:line="530" w:lineRule="exact"/>
        <w:rPr>
          <w:color w:val="auto"/>
          <w:highlight w:val="none"/>
        </w:rPr>
      </w:pPr>
      <w:bookmarkStart w:id="175" w:name="_Toc1468820998"/>
      <w:bookmarkStart w:id="176" w:name="_Toc1947239674"/>
      <w:bookmarkStart w:id="177" w:name="_Toc1547116906"/>
      <w:bookmarkStart w:id="178" w:name="_Toc1285144842"/>
      <w:r>
        <w:rPr>
          <w:rFonts w:hint="eastAsia"/>
          <w:color w:val="auto"/>
          <w:highlight w:val="none"/>
        </w:rPr>
        <w:t>加快培育航空生产性服务业</w:t>
      </w:r>
      <w:bookmarkEnd w:id="175"/>
      <w:bookmarkEnd w:id="176"/>
      <w:bookmarkEnd w:id="177"/>
      <w:bookmarkEnd w:id="178"/>
    </w:p>
    <w:p>
      <w:pPr>
        <w:pStyle w:val="19"/>
        <w:pageBreakBefore w:val="0"/>
        <w:wordWrap/>
        <w:overflowPunct/>
        <w:autoSpaceDE/>
        <w:autoSpaceDN/>
        <w:bidi w:val="0"/>
        <w:spacing w:line="530" w:lineRule="exact"/>
        <w:ind w:firstLine="643"/>
        <w:rPr>
          <w:rFonts w:hint="default" w:ascii="Times New Roman" w:hAnsi="Times New Roman" w:cs="Times New Roman"/>
          <w:b/>
          <w:bCs/>
          <w:color w:val="auto"/>
          <w:szCs w:val="32"/>
          <w:highlight w:val="none"/>
        </w:rPr>
      </w:pPr>
      <w:r>
        <w:rPr>
          <w:rFonts w:ascii="Times New Roman" w:hAnsi="Times New Roman" w:cs="Times New Roman"/>
          <w:b/>
          <w:bCs/>
          <w:color w:val="auto"/>
          <w:szCs w:val="32"/>
          <w:highlight w:val="none"/>
        </w:rPr>
        <w:t>推动通用航空维护产业发展。</w:t>
      </w:r>
      <w:r>
        <w:rPr>
          <w:rFonts w:ascii="Times New Roman" w:hAnsi="Times New Roman" w:cs="Times New Roman"/>
          <w:color w:val="auto"/>
          <w:szCs w:val="32"/>
          <w:highlight w:val="none"/>
        </w:rPr>
        <w:t>依托航空装备制造拓展航空机械维修及维护业务，建设通用航空器运维基地，提升通用航空器运维能力，为通用航空器提供</w:t>
      </w:r>
      <w:r>
        <w:rPr>
          <w:rFonts w:ascii="Times New Roman" w:hAnsi="Times New Roman"/>
          <w:color w:val="auto"/>
          <w:szCs w:val="32"/>
          <w:highlight w:val="none"/>
          <w:lang w:bidi="ar"/>
        </w:rPr>
        <w:t>检测监测、故障诊断等专业化服务。加强通用航空维护领域专业人才培育，建立“校企联动”人才培育机制，联合航空专业高校，设立航空运维学院，培育专业人才，打造航空运维人才输出地。</w:t>
      </w:r>
    </w:p>
    <w:p>
      <w:pPr>
        <w:pStyle w:val="19"/>
        <w:pageBreakBefore w:val="0"/>
        <w:wordWrap/>
        <w:overflowPunct/>
        <w:autoSpaceDE/>
        <w:autoSpaceDN/>
        <w:bidi w:val="0"/>
        <w:spacing w:line="530" w:lineRule="exact"/>
        <w:rPr>
          <w:rFonts w:hint="default"/>
          <w:color w:val="auto"/>
          <w:highlight w:val="none"/>
          <w:lang w:val="en-US" w:eastAsia="zh-CN"/>
        </w:rPr>
      </w:pPr>
      <w:r>
        <w:rPr>
          <w:rFonts w:ascii="Times New Roman" w:hAnsi="Times New Roman" w:cs="Times New Roman"/>
          <w:b/>
          <w:bCs/>
          <w:color w:val="auto"/>
          <w:szCs w:val="32"/>
          <w:highlight w:val="none"/>
        </w:rPr>
        <w:t>积极引入航空金融产业。</w:t>
      </w:r>
      <w:r>
        <w:rPr>
          <w:rFonts w:ascii="Times New Roman" w:hAnsi="Times New Roman" w:cs="Times New Roman"/>
          <w:color w:val="auto"/>
          <w:szCs w:val="32"/>
          <w:highlight w:val="none"/>
        </w:rPr>
        <w:t>推动设立服务于航空科技创新发展的专项基金，壮大产业投资基金规模，提升航博城航空科创活力。围绕航空产业建设，积极发展产业投资基金、创业投资基金、金融控股等多元化金融业态。发展天使基金、创业基金等风险投资</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优化金融环境，创新金融产品和服务，提升科技金融专属产品效能。</w:t>
      </w:r>
    </w:p>
    <w:p>
      <w:pPr>
        <w:pStyle w:val="3"/>
        <w:pageBreakBefore w:val="0"/>
        <w:wordWrap/>
        <w:overflowPunct/>
        <w:autoSpaceDE/>
        <w:autoSpaceDN/>
        <w:bidi w:val="0"/>
        <w:spacing w:line="530" w:lineRule="exact"/>
        <w:rPr>
          <w:rFonts w:hint="eastAsia"/>
          <w:color w:val="auto"/>
          <w:highlight w:val="none"/>
        </w:rPr>
      </w:pPr>
      <w:bookmarkStart w:id="179" w:name="_Toc1149991121"/>
      <w:bookmarkStart w:id="180" w:name="_Toc38837968"/>
      <w:bookmarkStart w:id="181" w:name="_Toc661841266"/>
      <w:bookmarkStart w:id="182" w:name="_Toc1286372896"/>
      <w:bookmarkStart w:id="183" w:name="_Toc1993892121"/>
      <w:bookmarkStart w:id="184" w:name="_Toc521355423"/>
      <w:bookmarkStart w:id="185" w:name="_Toc262167858"/>
      <w:bookmarkStart w:id="186" w:name="_Toc1753904285"/>
      <w:r>
        <w:rPr>
          <w:rFonts w:hint="eastAsia"/>
          <w:color w:val="auto"/>
          <w:highlight w:val="none"/>
          <w:lang w:val="en-US" w:eastAsia="zh-CN"/>
        </w:rPr>
        <w:t>推动航空文化的品牌塑造</w:t>
      </w:r>
      <w:bookmarkEnd w:id="179"/>
      <w:bookmarkEnd w:id="180"/>
      <w:bookmarkEnd w:id="181"/>
      <w:bookmarkEnd w:id="182"/>
      <w:bookmarkEnd w:id="183"/>
      <w:bookmarkEnd w:id="184"/>
      <w:bookmarkEnd w:id="185"/>
      <w:bookmarkEnd w:id="186"/>
    </w:p>
    <w:p>
      <w:pPr>
        <w:pStyle w:val="4"/>
        <w:pageBreakBefore w:val="0"/>
        <w:wordWrap/>
        <w:overflowPunct/>
        <w:autoSpaceDE/>
        <w:autoSpaceDN/>
        <w:bidi w:val="0"/>
        <w:spacing w:line="530" w:lineRule="exact"/>
        <w:rPr>
          <w:rFonts w:hint="eastAsia"/>
          <w:color w:val="auto"/>
          <w:highlight w:val="none"/>
        </w:rPr>
      </w:pPr>
      <w:bookmarkStart w:id="187" w:name="_Toc1508779273"/>
      <w:bookmarkStart w:id="188" w:name="_Toc2062183135"/>
      <w:bookmarkStart w:id="189" w:name="_Toc1748349849"/>
      <w:bookmarkStart w:id="190" w:name="_Toc547947647"/>
      <w:r>
        <w:rPr>
          <w:rFonts w:hint="eastAsia"/>
          <w:color w:val="auto"/>
          <w:highlight w:val="none"/>
        </w:rPr>
        <w:t>深化航博城核心吸引力</w:t>
      </w:r>
      <w:bookmarkEnd w:id="187"/>
      <w:bookmarkEnd w:id="188"/>
      <w:bookmarkEnd w:id="189"/>
      <w:bookmarkEnd w:id="190"/>
    </w:p>
    <w:p>
      <w:pPr>
        <w:pStyle w:val="19"/>
        <w:pageBreakBefore w:val="0"/>
        <w:wordWrap/>
        <w:overflowPunct/>
        <w:autoSpaceDE/>
        <w:autoSpaceDN/>
        <w:bidi w:val="0"/>
        <w:spacing w:line="530" w:lineRule="exact"/>
        <w:rPr>
          <w:rFonts w:hint="eastAsia"/>
          <w:b/>
          <w:bCs/>
          <w:color w:val="auto"/>
          <w:highlight w:val="none"/>
        </w:rPr>
      </w:pPr>
      <w:r>
        <w:rPr>
          <w:rFonts w:hint="eastAsia"/>
          <w:b/>
          <w:bCs/>
          <w:color w:val="auto"/>
          <w:highlight w:val="none"/>
        </w:rPr>
        <w:t>打造“永不落幕的航空</w:t>
      </w:r>
      <w:r>
        <w:rPr>
          <w:rFonts w:hint="eastAsia"/>
          <w:b/>
          <w:bCs/>
          <w:color w:val="auto"/>
          <w:highlight w:val="none"/>
          <w:lang w:val="en-US" w:eastAsia="zh-CN"/>
        </w:rPr>
        <w:t>展</w:t>
      </w:r>
      <w:r>
        <w:rPr>
          <w:rFonts w:hint="eastAsia"/>
          <w:b/>
          <w:bCs/>
          <w:color w:val="auto"/>
          <w:highlight w:val="none"/>
        </w:rPr>
        <w:t>”。</w:t>
      </w:r>
      <w:r>
        <w:rPr>
          <w:rFonts w:hint="eastAsia"/>
          <w:b w:val="0"/>
          <w:bCs w:val="0"/>
          <w:color w:val="auto"/>
          <w:highlight w:val="none"/>
          <w:lang w:val="en-US" w:eastAsia="zh-CN"/>
        </w:rPr>
        <w:t>将航空展</w:t>
      </w:r>
      <w:r>
        <w:rPr>
          <w:rFonts w:hint="eastAsia"/>
          <w:b w:val="0"/>
          <w:bCs w:val="0"/>
          <w:color w:val="auto"/>
          <w:highlight w:val="none"/>
        </w:rPr>
        <w:t>从周期性展会向持续性体验平台转型</w:t>
      </w:r>
      <w:r>
        <w:rPr>
          <w:rFonts w:hint="eastAsia"/>
          <w:b w:val="0"/>
          <w:bCs w:val="0"/>
          <w:color w:val="auto"/>
          <w:highlight w:val="none"/>
          <w:lang w:eastAsia="zh-CN"/>
        </w:rPr>
        <w:t>。</w:t>
      </w:r>
      <w:r>
        <w:rPr>
          <w:rFonts w:hint="eastAsia"/>
          <w:b w:val="0"/>
          <w:bCs w:val="0"/>
          <w:color w:val="auto"/>
          <w:highlight w:val="none"/>
        </w:rPr>
        <w:t>突破传统展览模式</w:t>
      </w:r>
      <w:r>
        <w:rPr>
          <w:rFonts w:hint="eastAsia"/>
          <w:b w:val="0"/>
          <w:bCs w:val="0"/>
          <w:color w:val="auto"/>
          <w:highlight w:val="none"/>
          <w:lang w:eastAsia="zh-CN"/>
        </w:rPr>
        <w:t>，</w:t>
      </w:r>
      <w:r>
        <w:rPr>
          <w:rFonts w:hint="eastAsia"/>
          <w:b w:val="0"/>
          <w:bCs w:val="0"/>
          <w:color w:val="auto"/>
          <w:highlight w:val="none"/>
        </w:rPr>
        <w:t>在内容上建立动态更新机制，通过</w:t>
      </w:r>
      <w:r>
        <w:rPr>
          <w:rFonts w:hint="eastAsia"/>
          <w:b w:val="0"/>
          <w:bCs w:val="0"/>
          <w:color w:val="auto"/>
          <w:highlight w:val="none"/>
          <w:lang w:val="en-US" w:eastAsia="zh-CN"/>
        </w:rPr>
        <w:t>主要产品</w:t>
      </w:r>
      <w:r>
        <w:rPr>
          <w:rFonts w:hint="eastAsia"/>
          <w:b w:val="0"/>
          <w:bCs w:val="0"/>
          <w:color w:val="auto"/>
          <w:highlight w:val="none"/>
        </w:rPr>
        <w:t>季度轮换、透明工厂展示研发</w:t>
      </w:r>
      <w:r>
        <w:rPr>
          <w:rFonts w:hint="eastAsia"/>
          <w:b w:val="0"/>
          <w:bCs w:val="0"/>
          <w:color w:val="auto"/>
          <w:highlight w:val="none"/>
          <w:lang w:eastAsia="zh-CN"/>
        </w:rPr>
        <w:t>、</w:t>
      </w:r>
      <w:r>
        <w:rPr>
          <w:rFonts w:hint="eastAsia"/>
          <w:b w:val="0"/>
          <w:bCs w:val="0"/>
          <w:color w:val="auto"/>
          <w:highlight w:val="none"/>
          <w:lang w:val="en-US" w:eastAsia="zh-CN"/>
        </w:rPr>
        <w:t>组装</w:t>
      </w:r>
      <w:r>
        <w:rPr>
          <w:rFonts w:hint="eastAsia"/>
          <w:b w:val="0"/>
          <w:bCs w:val="0"/>
          <w:color w:val="auto"/>
          <w:highlight w:val="none"/>
        </w:rPr>
        <w:t>过程、前沿概念机预告等方式保持展品活力。在体验上深化参与维度，开设航模创客空间，开发贯穿全馆的AR实景解谜任务，将被动参观转化为技能提升与探索乐趣。在叙事上运用科技赋能，打造</w:t>
      </w:r>
      <w:r>
        <w:rPr>
          <w:rFonts w:hint="eastAsia" w:ascii="Times New Roman" w:hAnsi="Times New Roman"/>
          <w:b w:val="0"/>
          <w:bCs w:val="0"/>
          <w:i w:val="0"/>
          <w:color w:val="auto"/>
          <w:highlight w:val="none"/>
        </w:rPr>
        <w:t>360</w:t>
      </w:r>
      <w:r>
        <w:rPr>
          <w:rFonts w:hint="eastAsia"/>
          <w:b w:val="0"/>
          <w:bCs w:val="0"/>
          <w:color w:val="auto"/>
          <w:highlight w:val="none"/>
        </w:rPr>
        <w:t>度穹幕影院演绎航空史诗，策划</w:t>
      </w:r>
      <w:r>
        <w:rPr>
          <w:rFonts w:hint="eastAsia"/>
          <w:b w:val="0"/>
          <w:bCs w:val="0"/>
          <w:color w:val="auto"/>
          <w:highlight w:val="none"/>
          <w:lang w:eastAsia="zh-CN"/>
        </w:rPr>
        <w:t>“</w:t>
      </w:r>
      <w:r>
        <w:rPr>
          <w:rFonts w:hint="eastAsia"/>
          <w:b w:val="0"/>
          <w:bCs w:val="0"/>
          <w:color w:val="auto"/>
          <w:highlight w:val="none"/>
        </w:rPr>
        <w:t>机库夜话</w:t>
      </w:r>
      <w:r>
        <w:rPr>
          <w:rFonts w:hint="eastAsia"/>
          <w:b w:val="0"/>
          <w:bCs w:val="0"/>
          <w:color w:val="auto"/>
          <w:highlight w:val="none"/>
          <w:lang w:eastAsia="zh-CN"/>
        </w:rPr>
        <w:t>”</w:t>
      </w:r>
      <w:r>
        <w:rPr>
          <w:rFonts w:hint="eastAsia"/>
          <w:b w:val="0"/>
          <w:bCs w:val="0"/>
          <w:color w:val="auto"/>
          <w:highlight w:val="none"/>
        </w:rPr>
        <w:t>沉浸式戏剧，部署AR导览呈现展品内部结构与历史故事。同时建立会员社群体系，通过专属活动、主题沙龙与共创计划培育核心粉丝，最终形成内容常换常新、体验深度沉浸、社群持续活跃的良性循环，使航博城成为超越时空限制的航空文化圣地。</w:t>
      </w:r>
    </w:p>
    <w:p>
      <w:pPr>
        <w:pStyle w:val="19"/>
        <w:pageBreakBefore w:val="0"/>
        <w:wordWrap/>
        <w:overflowPunct/>
        <w:autoSpaceDE/>
        <w:autoSpaceDN/>
        <w:bidi w:val="0"/>
        <w:spacing w:line="530" w:lineRule="exact"/>
        <w:rPr>
          <w:rFonts w:hint="eastAsia"/>
          <w:b w:val="0"/>
          <w:bCs w:val="0"/>
          <w:color w:val="auto"/>
          <w:highlight w:val="none"/>
        </w:rPr>
      </w:pPr>
      <w:r>
        <w:rPr>
          <w:rFonts w:hint="eastAsia"/>
          <w:b/>
          <w:bCs/>
          <w:color w:val="auto"/>
          <w:highlight w:val="none"/>
        </w:rPr>
        <w:t>构建会展经济生态系统</w:t>
      </w:r>
      <w:r>
        <w:rPr>
          <w:rFonts w:hint="eastAsia"/>
          <w:b/>
          <w:bCs/>
          <w:color w:val="auto"/>
          <w:highlight w:val="none"/>
          <w:lang w:eastAsia="zh-CN"/>
        </w:rPr>
        <w:t>。</w:t>
      </w:r>
      <w:r>
        <w:rPr>
          <w:rFonts w:hint="eastAsia"/>
          <w:b w:val="0"/>
          <w:bCs w:val="0"/>
          <w:color w:val="auto"/>
          <w:highlight w:val="none"/>
        </w:rPr>
        <w:t>突破场次经济局限，构建价值循环生态系统。纵向延伸产业链，在展前建立展商数据库与需求匹配机制，展中组织精准对接会，展后推动展商落地转化，实现</w:t>
      </w:r>
      <w:r>
        <w:rPr>
          <w:rFonts w:hint="eastAsia"/>
          <w:b w:val="0"/>
          <w:bCs w:val="0"/>
          <w:color w:val="auto"/>
          <w:highlight w:val="none"/>
          <w:lang w:eastAsia="zh-CN"/>
        </w:rPr>
        <w:t>“</w:t>
      </w:r>
      <w:r>
        <w:rPr>
          <w:rFonts w:hint="eastAsia"/>
          <w:b w:val="0"/>
          <w:bCs w:val="0"/>
          <w:color w:val="auto"/>
          <w:highlight w:val="none"/>
        </w:rPr>
        <w:t>参展</w:t>
      </w:r>
      <w:r>
        <w:rPr>
          <w:rFonts w:hint="eastAsia" w:ascii="Times New Roman" w:hAnsi="Times New Roman"/>
          <w:b w:val="0"/>
          <w:bCs w:val="0"/>
          <w:color w:val="auto"/>
          <w:highlight w:val="none"/>
          <w:lang w:eastAsia="zh-CN"/>
        </w:rPr>
        <w:t>―</w:t>
      </w:r>
      <w:r>
        <w:rPr>
          <w:rFonts w:hint="eastAsia"/>
          <w:b w:val="0"/>
          <w:bCs w:val="0"/>
          <w:color w:val="auto"/>
          <w:highlight w:val="none"/>
        </w:rPr>
        <w:t>对接</w:t>
      </w:r>
      <w:r>
        <w:rPr>
          <w:rFonts w:hint="eastAsia" w:ascii="Times New Roman" w:hAnsi="Times New Roman"/>
          <w:b w:val="0"/>
          <w:bCs w:val="0"/>
          <w:color w:val="auto"/>
          <w:highlight w:val="none"/>
          <w:lang w:eastAsia="zh-CN"/>
        </w:rPr>
        <w:t>―</w:t>
      </w:r>
      <w:r>
        <w:rPr>
          <w:rFonts w:hint="eastAsia"/>
          <w:b w:val="0"/>
          <w:bCs w:val="0"/>
          <w:color w:val="auto"/>
          <w:highlight w:val="none"/>
        </w:rPr>
        <w:t>投资</w:t>
      </w:r>
      <w:r>
        <w:rPr>
          <w:rFonts w:hint="eastAsia"/>
          <w:b w:val="0"/>
          <w:bCs w:val="0"/>
          <w:color w:val="auto"/>
          <w:highlight w:val="none"/>
          <w:lang w:eastAsia="zh-CN"/>
        </w:rPr>
        <w:t>”</w:t>
      </w:r>
      <w:r>
        <w:rPr>
          <w:rFonts w:hint="eastAsia"/>
          <w:b w:val="0"/>
          <w:bCs w:val="0"/>
          <w:color w:val="auto"/>
          <w:highlight w:val="none"/>
        </w:rPr>
        <w:t>闭环。横向激活非展期价值，通过模块化场馆实现会议、演艺、电竞等多功能快速切换，依托研学课程、行业论坛、主题赛事保持场馆热度。承接其他行业专业展会</w:t>
      </w:r>
      <w:r>
        <w:rPr>
          <w:rFonts w:hint="eastAsia"/>
          <w:b w:val="0"/>
          <w:bCs w:val="0"/>
          <w:color w:val="auto"/>
          <w:highlight w:val="none"/>
          <w:lang w:eastAsia="zh-CN"/>
        </w:rPr>
        <w:t>，</w:t>
      </w:r>
      <w:r>
        <w:rPr>
          <w:rFonts w:hint="eastAsia"/>
          <w:b w:val="0"/>
          <w:bCs w:val="0"/>
          <w:color w:val="auto"/>
          <w:highlight w:val="none"/>
        </w:rPr>
        <w:t>在展会期间融入航空文化元素，实现交叉引流</w:t>
      </w:r>
      <w:r>
        <w:rPr>
          <w:rFonts w:hint="eastAsia"/>
          <w:b w:val="0"/>
          <w:bCs w:val="0"/>
          <w:color w:val="auto"/>
          <w:highlight w:val="none"/>
          <w:lang w:eastAsia="zh-CN"/>
        </w:rPr>
        <w:t>。</w:t>
      </w:r>
      <w:r>
        <w:rPr>
          <w:rFonts w:hint="eastAsia"/>
          <w:b w:val="0"/>
          <w:bCs w:val="0"/>
          <w:color w:val="auto"/>
          <w:highlight w:val="none"/>
        </w:rPr>
        <w:t>创新发展衍生经济，培育自主会展IP并开展品牌授权，建设智慧云展平台打破时空限制，推动</w:t>
      </w:r>
      <w:r>
        <w:rPr>
          <w:rFonts w:hint="eastAsia"/>
          <w:b w:val="0"/>
          <w:bCs w:val="0"/>
          <w:color w:val="auto"/>
          <w:highlight w:val="none"/>
          <w:lang w:eastAsia="zh-CN"/>
        </w:rPr>
        <w:t>“</w:t>
      </w:r>
      <w:r>
        <w:rPr>
          <w:rFonts w:hint="eastAsia"/>
          <w:b w:val="0"/>
          <w:bCs w:val="0"/>
          <w:color w:val="auto"/>
          <w:highlight w:val="none"/>
        </w:rPr>
        <w:t>会展+</w:t>
      </w:r>
      <w:r>
        <w:rPr>
          <w:rFonts w:hint="eastAsia"/>
          <w:b w:val="0"/>
          <w:bCs w:val="0"/>
          <w:color w:val="auto"/>
          <w:highlight w:val="none"/>
          <w:lang w:val="en-US" w:eastAsia="zh-CN"/>
        </w:rPr>
        <w:t>文旅</w:t>
      </w:r>
      <w:r>
        <w:rPr>
          <w:rFonts w:hint="eastAsia"/>
          <w:b w:val="0"/>
          <w:bCs w:val="0"/>
          <w:color w:val="auto"/>
          <w:highlight w:val="none"/>
          <w:lang w:eastAsia="zh-CN"/>
        </w:rPr>
        <w:t>”</w:t>
      </w:r>
      <w:r>
        <w:rPr>
          <w:rFonts w:hint="eastAsia"/>
          <w:b w:val="0"/>
          <w:bCs w:val="0"/>
          <w:color w:val="auto"/>
          <w:highlight w:val="none"/>
        </w:rPr>
        <w:t>套餐开发与流量转化。强化智力支撑，建设会展大数据平台实现精准运营，校企合作培养专业人才，形成自我造血的会展经济生态圈。</w:t>
      </w:r>
    </w:p>
    <w:p>
      <w:pPr>
        <w:pStyle w:val="19"/>
        <w:pageBreakBefore w:val="0"/>
        <w:wordWrap/>
        <w:overflowPunct/>
        <w:autoSpaceDE/>
        <w:autoSpaceDN/>
        <w:bidi w:val="0"/>
        <w:spacing w:line="530" w:lineRule="exact"/>
        <w:rPr>
          <w:rFonts w:hint="eastAsia"/>
          <w:b/>
          <w:bCs/>
          <w:color w:val="auto"/>
          <w:highlight w:val="none"/>
        </w:rPr>
      </w:pPr>
      <w:r>
        <w:rPr>
          <w:rFonts w:hint="eastAsia"/>
          <w:b/>
          <w:bCs/>
          <w:color w:val="auto"/>
          <w:highlight w:val="none"/>
        </w:rPr>
        <w:t>塑造航博城超级IP</w:t>
      </w:r>
      <w:r>
        <w:rPr>
          <w:rFonts w:hint="eastAsia"/>
          <w:b/>
          <w:bCs/>
          <w:color w:val="auto"/>
          <w:highlight w:val="none"/>
          <w:lang w:eastAsia="zh-CN"/>
        </w:rPr>
        <w:t>。</w:t>
      </w:r>
      <w:r>
        <w:rPr>
          <w:rFonts w:hint="eastAsia"/>
          <w:b w:val="0"/>
          <w:bCs w:val="0"/>
          <w:color w:val="auto"/>
          <w:highlight w:val="none"/>
        </w:rPr>
        <w:t>系统构建识别体系与价值闭环</w:t>
      </w:r>
      <w:r>
        <w:rPr>
          <w:rFonts w:hint="eastAsia"/>
          <w:b w:val="0"/>
          <w:bCs w:val="0"/>
          <w:color w:val="auto"/>
          <w:highlight w:val="none"/>
          <w:lang w:eastAsia="zh-CN"/>
        </w:rPr>
        <w:t>，</w:t>
      </w:r>
      <w:r>
        <w:rPr>
          <w:rFonts w:hint="eastAsia"/>
          <w:b w:val="0"/>
          <w:bCs w:val="0"/>
          <w:color w:val="auto"/>
          <w:highlight w:val="none"/>
        </w:rPr>
        <w:t>确立</w:t>
      </w:r>
      <w:r>
        <w:rPr>
          <w:rFonts w:hint="eastAsia"/>
          <w:b w:val="0"/>
          <w:bCs w:val="0"/>
          <w:color w:val="auto"/>
          <w:highlight w:val="none"/>
          <w:lang w:val="en-US" w:eastAsia="zh-CN"/>
        </w:rPr>
        <w:t>航博城</w:t>
      </w:r>
      <w:r>
        <w:rPr>
          <w:rFonts w:hint="eastAsia"/>
          <w:b w:val="0"/>
          <w:bCs w:val="0"/>
          <w:color w:val="auto"/>
          <w:highlight w:val="none"/>
        </w:rPr>
        <w:t>核心定位，打造专属视觉符号系统与人格化形象。通过航空英雄纪实、未来空域科幻计划等多元叙事构建内容矩阵，结合社交媒体与数字平台扩大传播。将IP植入体验场景，开发剧情化游览路线，打造主题化服务空间，策划年度IP盛事矩阵增强吸引力。拓展商业变现渠道，建立分层文创产品体系，开展跨行业品牌联名，向产业园企业赋能形成产业反哺。</w:t>
      </w:r>
      <w:r>
        <w:rPr>
          <w:rFonts w:hint="eastAsia"/>
          <w:b w:val="0"/>
          <w:bCs w:val="0"/>
          <w:color w:val="auto"/>
          <w:highlight w:val="none"/>
          <w:lang w:val="en-US" w:eastAsia="zh-CN"/>
        </w:rPr>
        <w:t>最</w:t>
      </w:r>
      <w:r>
        <w:rPr>
          <w:rFonts w:hint="eastAsia"/>
          <w:b w:val="0"/>
          <w:bCs w:val="0"/>
          <w:color w:val="auto"/>
          <w:highlight w:val="none"/>
        </w:rPr>
        <w:t>终形成</w:t>
      </w:r>
      <w:r>
        <w:rPr>
          <w:rFonts w:hint="eastAsia"/>
          <w:b w:val="0"/>
          <w:bCs w:val="0"/>
          <w:color w:val="auto"/>
          <w:highlight w:val="none"/>
          <w:lang w:eastAsia="zh-CN"/>
        </w:rPr>
        <w:t>“</w:t>
      </w:r>
      <w:r>
        <w:rPr>
          <w:rFonts w:hint="eastAsia"/>
          <w:b w:val="0"/>
          <w:bCs w:val="0"/>
          <w:color w:val="auto"/>
          <w:highlight w:val="none"/>
        </w:rPr>
        <w:t>内容</w:t>
      </w:r>
      <w:r>
        <w:rPr>
          <w:rFonts w:hint="eastAsia" w:ascii="Times New Roman" w:hAnsi="Times New Roman"/>
          <w:b w:val="0"/>
          <w:bCs w:val="0"/>
          <w:color w:val="auto"/>
          <w:highlight w:val="none"/>
          <w:lang w:eastAsia="zh-CN"/>
        </w:rPr>
        <w:t>―</w:t>
      </w:r>
      <w:r>
        <w:rPr>
          <w:rFonts w:hint="eastAsia"/>
          <w:b w:val="0"/>
          <w:bCs w:val="0"/>
          <w:color w:val="auto"/>
          <w:highlight w:val="none"/>
        </w:rPr>
        <w:t>体验</w:t>
      </w:r>
      <w:r>
        <w:rPr>
          <w:rFonts w:hint="eastAsia" w:ascii="Times New Roman" w:hAnsi="Times New Roman"/>
          <w:b w:val="0"/>
          <w:bCs w:val="0"/>
          <w:color w:val="auto"/>
          <w:highlight w:val="none"/>
          <w:lang w:eastAsia="zh-CN"/>
        </w:rPr>
        <w:t>―</w:t>
      </w:r>
      <w:r>
        <w:rPr>
          <w:rFonts w:hint="eastAsia"/>
          <w:b w:val="0"/>
          <w:bCs w:val="0"/>
          <w:color w:val="auto"/>
          <w:highlight w:val="none"/>
        </w:rPr>
        <w:t>商业</w:t>
      </w:r>
      <w:r>
        <w:rPr>
          <w:rFonts w:hint="eastAsia"/>
          <w:b w:val="0"/>
          <w:bCs w:val="0"/>
          <w:color w:val="auto"/>
          <w:highlight w:val="none"/>
          <w:lang w:eastAsia="zh-CN"/>
        </w:rPr>
        <w:t>”</w:t>
      </w:r>
      <w:r>
        <w:rPr>
          <w:rFonts w:hint="eastAsia"/>
          <w:b w:val="0"/>
          <w:bCs w:val="0"/>
          <w:color w:val="auto"/>
          <w:highlight w:val="none"/>
        </w:rPr>
        <w:t>驱动的IP运营模式，使航博城从物理空间演进为具有情感连接与商业价值的文化符号。</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lang w:val="en-US" w:eastAsia="zh-CN"/>
        </w:rPr>
        <w:t>推进“航空+”融合发展。</w:t>
      </w:r>
      <w:r>
        <w:rPr>
          <w:rFonts w:hint="eastAsia"/>
          <w:color w:val="auto"/>
          <w:highlight w:val="none"/>
        </w:rPr>
        <w:t>构建全域</w:t>
      </w:r>
      <w:r>
        <w:rPr>
          <w:rFonts w:hint="eastAsia"/>
          <w:color w:val="auto"/>
          <w:highlight w:val="none"/>
          <w:lang w:eastAsia="zh-CN"/>
        </w:rPr>
        <w:t>“</w:t>
      </w:r>
      <w:r>
        <w:rPr>
          <w:rFonts w:hint="eastAsia"/>
          <w:color w:val="auto"/>
          <w:highlight w:val="none"/>
          <w:lang w:val="en-US" w:eastAsia="zh-CN"/>
        </w:rPr>
        <w:t>航空+</w:t>
      </w:r>
      <w:r>
        <w:rPr>
          <w:rFonts w:hint="eastAsia"/>
          <w:color w:val="auto"/>
          <w:highlight w:val="none"/>
        </w:rPr>
        <w:t>旅游</w:t>
      </w:r>
      <w:r>
        <w:rPr>
          <w:rFonts w:hint="eastAsia"/>
          <w:color w:val="auto"/>
          <w:highlight w:val="none"/>
          <w:lang w:val="en-US" w:eastAsia="zh-CN"/>
        </w:rPr>
        <w:t>”</w:t>
      </w:r>
      <w:r>
        <w:rPr>
          <w:rFonts w:hint="eastAsia"/>
          <w:color w:val="auto"/>
          <w:highlight w:val="none"/>
        </w:rPr>
        <w:t>网络</w:t>
      </w:r>
      <w:r>
        <w:rPr>
          <w:rFonts w:hint="eastAsia"/>
          <w:color w:val="auto"/>
          <w:highlight w:val="none"/>
          <w:lang w:eastAsia="zh-CN"/>
        </w:rPr>
        <w:t>，</w:t>
      </w:r>
      <w:r>
        <w:rPr>
          <w:rFonts w:hint="eastAsia"/>
          <w:color w:val="auto"/>
          <w:highlight w:val="none"/>
        </w:rPr>
        <w:t>突破传统观光模式，开辟“空中看长春”低空游览航线，设计覆盖净月潭、伪满皇宫等核心景区的差异化航线。推出季节性特色产品，冬季开设冰雪飞行体验馆，结合雾凇景观开展无人机灯光秀，打造“航空+冰雪”独特</w:t>
      </w:r>
      <w:r>
        <w:rPr>
          <w:rFonts w:hint="eastAsia"/>
          <w:color w:val="auto"/>
          <w:highlight w:val="none"/>
          <w:lang w:val="en-US" w:eastAsia="zh-CN"/>
        </w:rPr>
        <w:t>文旅项目</w:t>
      </w:r>
      <w:r>
        <w:rPr>
          <w:rFonts w:hint="eastAsia"/>
          <w:color w:val="auto"/>
          <w:highlight w:val="none"/>
        </w:rPr>
        <w:t>。</w:t>
      </w:r>
      <w:r>
        <w:rPr>
          <w:rFonts w:hint="eastAsia"/>
          <w:color w:val="auto"/>
          <w:highlight w:val="none"/>
          <w:lang w:val="en-US" w:eastAsia="zh-CN"/>
        </w:rPr>
        <w:t>打造“</w:t>
      </w:r>
      <w:r>
        <w:rPr>
          <w:rFonts w:hint="eastAsia"/>
          <w:color w:val="auto"/>
          <w:highlight w:val="none"/>
        </w:rPr>
        <w:t>航空+体育</w:t>
      </w:r>
      <w:r>
        <w:rPr>
          <w:rFonts w:hint="eastAsia"/>
          <w:color w:val="auto"/>
          <w:highlight w:val="none"/>
          <w:lang w:eastAsia="zh-CN"/>
        </w:rPr>
        <w:t>”</w:t>
      </w:r>
      <w:r>
        <w:rPr>
          <w:rFonts w:hint="eastAsia"/>
          <w:color w:val="auto"/>
          <w:highlight w:val="none"/>
        </w:rPr>
        <w:t>航空运动赛事体系</w:t>
      </w:r>
      <w:r>
        <w:rPr>
          <w:rFonts w:hint="eastAsia"/>
          <w:color w:val="auto"/>
          <w:highlight w:val="none"/>
          <w:lang w:eastAsia="zh-CN"/>
        </w:rPr>
        <w:t>，</w:t>
      </w:r>
      <w:r>
        <w:rPr>
          <w:rFonts w:hint="eastAsia"/>
          <w:color w:val="auto"/>
          <w:highlight w:val="none"/>
        </w:rPr>
        <w:t>系统规划航空体育项目，</w:t>
      </w:r>
      <w:r>
        <w:rPr>
          <w:rFonts w:hint="eastAsia"/>
          <w:color w:val="auto"/>
          <w:highlight w:val="none"/>
          <w:lang w:val="en-US" w:eastAsia="zh-CN"/>
        </w:rPr>
        <w:t>谋划建设</w:t>
      </w:r>
      <w:r>
        <w:rPr>
          <w:rFonts w:hint="eastAsia"/>
          <w:color w:val="auto"/>
          <w:highlight w:val="none"/>
        </w:rPr>
        <w:t>标准化无人机竞速赛道、航模运动场和轻型飞机起降点。常态化举办专业级无人机锦标赛、</w:t>
      </w:r>
      <w:r>
        <w:rPr>
          <w:rFonts w:hint="eastAsia"/>
          <w:color w:val="auto"/>
          <w:highlight w:val="none"/>
          <w:lang w:val="en-US" w:eastAsia="zh-CN"/>
        </w:rPr>
        <w:t>大众可参与的</w:t>
      </w:r>
      <w:r>
        <w:rPr>
          <w:rFonts w:hint="eastAsia"/>
          <w:color w:val="auto"/>
          <w:highlight w:val="none"/>
        </w:rPr>
        <w:t>航模挑战赛以及创新性的模拟飞行电子竞技大赛</w:t>
      </w:r>
      <w:r>
        <w:rPr>
          <w:rFonts w:hint="eastAsia"/>
          <w:color w:val="auto"/>
          <w:highlight w:val="none"/>
          <w:lang w:val="en-US" w:eastAsia="zh-CN"/>
        </w:rPr>
        <w:t>等相关赛事</w:t>
      </w:r>
      <w:r>
        <w:rPr>
          <w:rFonts w:hint="eastAsia"/>
          <w:color w:val="auto"/>
          <w:highlight w:val="none"/>
        </w:rPr>
        <w:t>。</w:t>
      </w:r>
      <w:r>
        <w:rPr>
          <w:rFonts w:hint="eastAsia"/>
          <w:color w:val="auto"/>
          <w:highlight w:val="none"/>
          <w:lang w:val="en-US" w:eastAsia="zh-CN"/>
        </w:rPr>
        <w:t>创新“航空+展演”</w:t>
      </w:r>
      <w:r>
        <w:rPr>
          <w:rFonts w:hint="eastAsia"/>
          <w:color w:val="auto"/>
          <w:highlight w:val="none"/>
        </w:rPr>
        <w:t>文化艺术表达形式</w:t>
      </w:r>
      <w:r>
        <w:rPr>
          <w:rFonts w:hint="eastAsia"/>
          <w:color w:val="auto"/>
          <w:highlight w:val="none"/>
          <w:lang w:eastAsia="zh-CN"/>
        </w:rPr>
        <w:t>，</w:t>
      </w:r>
      <w:r>
        <w:rPr>
          <w:rFonts w:hint="eastAsia"/>
          <w:color w:val="auto"/>
          <w:highlight w:val="none"/>
        </w:rPr>
        <w:t>打造穹幕飞行影片，呈现长春空中景观与航空发展史</w:t>
      </w:r>
      <w:r>
        <w:rPr>
          <w:rFonts w:hint="eastAsia"/>
          <w:color w:val="auto"/>
          <w:highlight w:val="none"/>
          <w:lang w:eastAsia="zh-CN"/>
        </w:rPr>
        <w:t>，</w:t>
      </w:r>
      <w:r>
        <w:rPr>
          <w:rFonts w:hint="eastAsia"/>
          <w:color w:val="auto"/>
          <w:highlight w:val="none"/>
        </w:rPr>
        <w:t>策划沉浸式戏剧，结合全息投影技术重现历史场景。引入航空主题实景演艺，开发户外大型灯光秀与无人机编队表演，将航空元素与吉林特色文化符号创新结合。</w:t>
      </w:r>
    </w:p>
    <w:p>
      <w:pPr>
        <w:pStyle w:val="4"/>
        <w:pageBreakBefore w:val="0"/>
        <w:wordWrap/>
        <w:overflowPunct/>
        <w:autoSpaceDE/>
        <w:autoSpaceDN/>
        <w:bidi w:val="0"/>
        <w:spacing w:line="530" w:lineRule="exact"/>
        <w:rPr>
          <w:rFonts w:hint="eastAsia"/>
          <w:color w:val="auto"/>
          <w:highlight w:val="none"/>
        </w:rPr>
      </w:pPr>
      <w:bookmarkStart w:id="191" w:name="_Toc566337535"/>
      <w:bookmarkStart w:id="192" w:name="_Toc946224793"/>
      <w:bookmarkStart w:id="193" w:name="_Toc873371012"/>
      <w:bookmarkStart w:id="194" w:name="_Toc497170242"/>
      <w:r>
        <w:rPr>
          <w:rFonts w:hint="eastAsia"/>
          <w:color w:val="auto"/>
          <w:highlight w:val="none"/>
          <w:lang w:val="en-US" w:eastAsia="zh-CN"/>
        </w:rPr>
        <w:t>传承航空文化基因</w:t>
      </w:r>
      <w:bookmarkEnd w:id="191"/>
      <w:bookmarkEnd w:id="192"/>
      <w:bookmarkEnd w:id="193"/>
      <w:bookmarkEnd w:id="194"/>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打造独具特色的航空红色文化品牌</w:t>
      </w:r>
      <w:r>
        <w:rPr>
          <w:rFonts w:hint="eastAsia"/>
          <w:b/>
          <w:bCs/>
          <w:color w:val="auto"/>
          <w:highlight w:val="none"/>
          <w:lang w:eastAsia="zh-CN"/>
        </w:rPr>
        <w:t>。</w:t>
      </w:r>
      <w:r>
        <w:rPr>
          <w:rFonts w:hint="eastAsia"/>
          <w:color w:val="auto"/>
          <w:highlight w:val="none"/>
        </w:rPr>
        <w:t>深入梳理绿园区作为“中国空军策源地”的红色历史脉络与核心资源，挖掘其精神内核与时代价值。通过系统性品牌策划与传播，塑造一个兼具地域独特性、国防教育感染力与文旅融合吸引力的核心IP。推动空军文化与区域身份深度融合，强力彰显绿园区在中国航空事业历史与版图中的不可替代性与特殊地位，形成强大的品牌辨识度。</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推动航空文化与本地多元文化深度融合</w:t>
      </w:r>
      <w:r>
        <w:rPr>
          <w:rFonts w:hint="eastAsia"/>
          <w:b/>
          <w:bCs/>
          <w:color w:val="auto"/>
          <w:highlight w:val="none"/>
          <w:lang w:eastAsia="zh-CN"/>
        </w:rPr>
        <w:t>。</w:t>
      </w:r>
      <w:r>
        <w:rPr>
          <w:rFonts w:hint="eastAsia"/>
          <w:color w:val="auto"/>
          <w:highlight w:val="none"/>
        </w:rPr>
        <w:t>在航博城设立专项展区，创造性推动航空精神与本地关东文化、汽车文化、轨道客车文化等特色元素进行链接。打造“长春航空文化之旅”特色路线，串联</w:t>
      </w:r>
      <w:r>
        <w:rPr>
          <w:rFonts w:hint="eastAsia"/>
          <w:color w:val="auto"/>
          <w:highlight w:val="none"/>
          <w:lang w:eastAsia="zh-CN"/>
        </w:rPr>
        <w:t>航博城</w:t>
      </w:r>
      <w:r>
        <w:rPr>
          <w:rFonts w:hint="eastAsia"/>
          <w:color w:val="auto"/>
          <w:highlight w:val="none"/>
        </w:rPr>
        <w:t>、一汽历史文化街区、西客站、中车长客等，</w:t>
      </w:r>
      <w:r>
        <w:rPr>
          <w:rFonts w:hint="eastAsia"/>
          <w:color w:val="auto"/>
          <w:highlight w:val="none"/>
          <w:lang w:val="en-US" w:eastAsia="zh-CN"/>
        </w:rPr>
        <w:t>深化“氢能科技＋航博资源”联动，同步制定“氢春号”与航博城运营联动方案，</w:t>
      </w:r>
      <w:r>
        <w:rPr>
          <w:rFonts w:hint="eastAsia"/>
          <w:color w:val="auto"/>
          <w:highlight w:val="none"/>
        </w:rPr>
        <w:t>展现航空航天文化与工业文化融合发展的独特风貌，实现“空陆”文化的对话与融合，立体呈现长春作为工业重镇与航空摇篮的多元文化魅力，丰富航博城的内涵，增强其对本地居民的文化认同感与吸引力。依托大房身机场周边村庄等自然资源，利用新凯河等生态空间，结合关东文化园等人文景观，打造远郊休闲目的地，推动乡村振兴，塑造田园牧歌场景。</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构建内外联动的区域协同发展格局</w:t>
      </w:r>
      <w:r>
        <w:rPr>
          <w:rFonts w:hint="eastAsia"/>
          <w:b/>
          <w:bCs/>
          <w:color w:val="auto"/>
          <w:highlight w:val="none"/>
          <w:lang w:eastAsia="zh-CN"/>
        </w:rPr>
        <w:t>。</w:t>
      </w:r>
      <w:r>
        <w:rPr>
          <w:rFonts w:hint="eastAsia"/>
          <w:color w:val="auto"/>
          <w:highlight w:val="none"/>
        </w:rPr>
        <w:t>对外，与省市非遗项目联动，整合红色与非遗资源，共同设计跨区域文旅线路，扩大市场腹地。对内，依托“</w:t>
      </w:r>
      <w:r>
        <w:rPr>
          <w:rFonts w:hint="eastAsia" w:ascii="Times New Roman" w:hAnsi="Times New Roman"/>
          <w:b w:val="0"/>
          <w:i w:val="0"/>
          <w:color w:val="auto"/>
          <w:highlight w:val="none"/>
        </w:rPr>
        <w:t>22</w:t>
      </w:r>
      <w:r>
        <w:rPr>
          <w:rFonts w:hint="eastAsia"/>
          <w:color w:val="auto"/>
          <w:highlight w:val="none"/>
        </w:rPr>
        <w:t>℃的夏天”气候优势，推动本地雁鸣湖生态板块与南方康养中心衔接，开发“候鸟式”康养产品，配套温泉、森林疗愈等项目，形成“航空文化+生态康养”的双轮驱动，有效拓展文旅消费场景与发展空间。</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创新打造沉浸式航空文化体验场景</w:t>
      </w:r>
      <w:r>
        <w:rPr>
          <w:rFonts w:hint="eastAsia"/>
          <w:b/>
          <w:bCs/>
          <w:color w:val="auto"/>
          <w:highlight w:val="none"/>
          <w:lang w:eastAsia="zh-CN"/>
        </w:rPr>
        <w:t>。</w:t>
      </w:r>
      <w:r>
        <w:rPr>
          <w:rFonts w:hint="eastAsia"/>
          <w:color w:val="auto"/>
          <w:highlight w:val="none"/>
        </w:rPr>
        <w:t>紧抓</w:t>
      </w:r>
      <w:r>
        <w:rPr>
          <w:rFonts w:hint="eastAsia"/>
          <w:color w:val="auto"/>
          <w:highlight w:val="none"/>
          <w:lang w:eastAsia="zh-CN"/>
        </w:rPr>
        <w:t>中国航空博物馆</w:t>
      </w:r>
      <w:r>
        <w:rPr>
          <w:rFonts w:hint="eastAsia"/>
          <w:color w:val="auto"/>
          <w:highlight w:val="none"/>
        </w:rPr>
        <w:t>落位、航空展等重大契机，高标准推进航空文化主题展陈馆、红色研学基地等核心载体建设。充分运用VR/AR等数字化技术还原历史场景，设计互动式、沉浸式体验项目。同时，配套开发“参观感受</w:t>
      </w:r>
      <w:r>
        <w:rPr>
          <w:rFonts w:hint="eastAsia" w:ascii="Times New Roman" w:hAnsi="Times New Roman"/>
          <w:color w:val="auto"/>
          <w:highlight w:val="none"/>
          <w:lang w:eastAsia="zh-CN"/>
        </w:rPr>
        <w:t>―</w:t>
      </w:r>
      <w:r>
        <w:rPr>
          <w:rFonts w:hint="eastAsia"/>
          <w:color w:val="auto"/>
          <w:highlight w:val="none"/>
        </w:rPr>
        <w:t>聆听故事</w:t>
      </w:r>
      <w:r>
        <w:rPr>
          <w:rFonts w:hint="eastAsia" w:ascii="Times New Roman" w:hAnsi="Times New Roman"/>
          <w:color w:val="auto"/>
          <w:highlight w:val="none"/>
          <w:lang w:eastAsia="zh-CN"/>
        </w:rPr>
        <w:t>―</w:t>
      </w:r>
      <w:r>
        <w:rPr>
          <w:rFonts w:hint="eastAsia"/>
          <w:color w:val="auto"/>
          <w:highlight w:val="none"/>
        </w:rPr>
        <w:t>情景教学”的全流程、体系化教育课程，推动航空红色文化从静态展示向活态传承与深度体验延伸。</w:t>
      </w:r>
    </w:p>
    <w:p>
      <w:pPr>
        <w:pStyle w:val="4"/>
        <w:pageBreakBefore w:val="0"/>
        <w:wordWrap/>
        <w:overflowPunct/>
        <w:autoSpaceDE/>
        <w:autoSpaceDN/>
        <w:bidi w:val="0"/>
        <w:spacing w:line="530" w:lineRule="exact"/>
        <w:rPr>
          <w:rFonts w:hint="eastAsia"/>
          <w:color w:val="auto"/>
          <w:highlight w:val="none"/>
        </w:rPr>
      </w:pPr>
      <w:bookmarkStart w:id="195" w:name="_Toc1083689916"/>
      <w:bookmarkStart w:id="196" w:name="_Toc787427241"/>
      <w:bookmarkStart w:id="197" w:name="_Toc81386817"/>
      <w:bookmarkStart w:id="198" w:name="_Toc695871439"/>
      <w:r>
        <w:rPr>
          <w:rFonts w:hint="eastAsia"/>
          <w:color w:val="auto"/>
          <w:highlight w:val="none"/>
        </w:rPr>
        <w:t>深耕青少年</w:t>
      </w:r>
      <w:r>
        <w:rPr>
          <w:rFonts w:hint="eastAsia"/>
          <w:color w:val="auto"/>
          <w:highlight w:val="none"/>
          <w:lang w:val="en-US" w:eastAsia="zh-CN"/>
        </w:rPr>
        <w:t>研学实践</w:t>
      </w:r>
      <w:bookmarkEnd w:id="195"/>
      <w:bookmarkEnd w:id="196"/>
      <w:bookmarkEnd w:id="197"/>
      <w:bookmarkEnd w:id="198"/>
    </w:p>
    <w:p>
      <w:pPr>
        <w:pStyle w:val="19"/>
        <w:pageBreakBefore w:val="0"/>
        <w:wordWrap/>
        <w:overflowPunct/>
        <w:autoSpaceDE/>
        <w:autoSpaceDN/>
        <w:bidi w:val="0"/>
        <w:spacing w:line="530" w:lineRule="exact"/>
        <w:rPr>
          <w:rFonts w:hint="eastAsia"/>
          <w:b/>
          <w:bCs/>
          <w:color w:val="auto"/>
          <w:highlight w:val="none"/>
        </w:rPr>
      </w:pPr>
      <w:r>
        <w:rPr>
          <w:rFonts w:hint="eastAsia"/>
          <w:b/>
          <w:bCs/>
          <w:color w:val="auto"/>
          <w:highlight w:val="none"/>
        </w:rPr>
        <w:t>构建沉浸式认知场景</w:t>
      </w:r>
      <w:r>
        <w:rPr>
          <w:rFonts w:hint="eastAsia"/>
          <w:b/>
          <w:bCs/>
          <w:color w:val="auto"/>
          <w:highlight w:val="none"/>
          <w:lang w:eastAsia="zh-CN"/>
        </w:rPr>
        <w:t>。</w:t>
      </w:r>
      <w:r>
        <w:rPr>
          <w:rFonts w:hint="eastAsia"/>
          <w:color w:val="auto"/>
          <w:highlight w:val="none"/>
        </w:rPr>
        <w:t>以深度体验为核心、主动探索为导向，通过营造高度仿真的任务化情境与全感官包裹的叙事空间，引导青少年从“参观者”转变为“在场者”与“问题解决者”</w:t>
      </w:r>
      <w:r>
        <w:rPr>
          <w:rFonts w:hint="eastAsia"/>
          <w:color w:val="auto"/>
          <w:highlight w:val="none"/>
          <w:lang w:eastAsia="zh-CN"/>
        </w:rPr>
        <w:t>。</w:t>
      </w:r>
      <w:r>
        <w:rPr>
          <w:rFonts w:hint="eastAsia"/>
          <w:color w:val="auto"/>
          <w:highlight w:val="none"/>
          <w:lang w:val="en-US" w:eastAsia="zh-CN"/>
        </w:rPr>
        <w:t>构建航空</w:t>
      </w:r>
      <w:r>
        <w:rPr>
          <w:rFonts w:hint="eastAsia"/>
          <w:color w:val="auto"/>
          <w:highlight w:val="none"/>
        </w:rPr>
        <w:t>模拟工程实践与协作</w:t>
      </w:r>
      <w:r>
        <w:rPr>
          <w:rFonts w:hint="eastAsia"/>
          <w:color w:val="auto"/>
          <w:highlight w:val="none"/>
          <w:lang w:val="en-US" w:eastAsia="zh-CN"/>
        </w:rPr>
        <w:t>的技术支撑，</w:t>
      </w:r>
      <w:r>
        <w:rPr>
          <w:rFonts w:hint="eastAsia"/>
          <w:color w:val="auto"/>
          <w:highlight w:val="none"/>
        </w:rPr>
        <w:t>设计个性化分层与生成性创造空间，注重</w:t>
      </w:r>
      <w:r>
        <w:rPr>
          <w:rFonts w:hint="eastAsia"/>
          <w:color w:val="auto"/>
          <w:highlight w:val="none"/>
          <w:lang w:val="en-US" w:eastAsia="zh-CN"/>
        </w:rPr>
        <w:t>对青少年的</w:t>
      </w:r>
      <w:r>
        <w:rPr>
          <w:rFonts w:hint="eastAsia"/>
          <w:color w:val="auto"/>
          <w:highlight w:val="none"/>
        </w:rPr>
        <w:t>情感共鸣与价值引领，通过线上线下融合，构建超越单次活动的可持续研学生态，实现从知识传递到认知建构、从短期体验到长期影响的深层教育目标。</w:t>
      </w:r>
    </w:p>
    <w:p>
      <w:pPr>
        <w:pStyle w:val="19"/>
        <w:pageBreakBefore w:val="0"/>
        <w:wordWrap/>
        <w:overflowPunct/>
        <w:autoSpaceDE/>
        <w:autoSpaceDN/>
        <w:bidi w:val="0"/>
        <w:spacing w:line="530" w:lineRule="exact"/>
        <w:rPr>
          <w:rFonts w:hint="eastAsia"/>
          <w:b w:val="0"/>
          <w:bCs w:val="0"/>
          <w:color w:val="auto"/>
          <w:highlight w:val="none"/>
        </w:rPr>
      </w:pPr>
      <w:r>
        <w:rPr>
          <w:rFonts w:hint="eastAsia"/>
          <w:b/>
          <w:bCs/>
          <w:color w:val="auto"/>
          <w:highlight w:val="none"/>
        </w:rPr>
        <w:t>建立阶梯式课程体系</w:t>
      </w:r>
      <w:r>
        <w:rPr>
          <w:rFonts w:hint="eastAsia"/>
          <w:b/>
          <w:bCs/>
          <w:color w:val="auto"/>
          <w:highlight w:val="none"/>
          <w:lang w:eastAsia="zh-CN"/>
        </w:rPr>
        <w:t>。</w:t>
      </w:r>
      <w:r>
        <w:rPr>
          <w:rFonts w:hint="eastAsia"/>
          <w:b w:val="0"/>
          <w:bCs w:val="0"/>
          <w:color w:val="auto"/>
          <w:highlight w:val="none"/>
        </w:rPr>
        <w:t>联合长春市教育局、高校及中小学，开发航空科技研学课程体系，包括小学段航空科普体验、中学段航空历史学习、大学段航空技术实践等，组织学生参观</w:t>
      </w:r>
      <w:r>
        <w:rPr>
          <w:rFonts w:hint="eastAsia"/>
          <w:b w:val="0"/>
          <w:bCs w:val="0"/>
          <w:color w:val="auto"/>
          <w:highlight w:val="none"/>
          <w:lang w:eastAsia="zh-CN"/>
        </w:rPr>
        <w:t>中</w:t>
      </w:r>
      <w:r>
        <w:rPr>
          <w:rFonts w:hint="eastAsia" w:ascii="仿宋" w:hAnsi="仿宋" w:eastAsia="仿宋" w:cs="仿宋"/>
          <w:b w:val="0"/>
          <w:bCs w:val="0"/>
          <w:color w:val="auto"/>
          <w:highlight w:val="none"/>
          <w:lang w:eastAsia="zh-CN"/>
        </w:rPr>
        <w:t>国</w:t>
      </w:r>
      <w:r>
        <w:rPr>
          <w:rFonts w:hint="eastAsia" w:ascii="仿宋" w:hAnsi="仿宋" w:eastAsia="仿宋" w:cs="仿宋"/>
          <w:color w:val="auto"/>
          <w:sz w:val="32"/>
          <w:highlight w:val="none"/>
          <w:lang w:val="en-US" w:eastAsia="zh-CN"/>
        </w:rPr>
        <w:t>航空博物馆</w:t>
      </w:r>
      <w:r>
        <w:rPr>
          <w:rFonts w:hint="eastAsia"/>
          <w:b w:val="0"/>
          <w:bCs w:val="0"/>
          <w:color w:val="auto"/>
          <w:highlight w:val="none"/>
        </w:rPr>
        <w:t>、体验VR模拟飞行、参与航空模型制作，开展“空军英雄故事进校园”活动，培育青少年爱国情怀与空天梦想。</w:t>
      </w:r>
    </w:p>
    <w:p>
      <w:pPr>
        <w:pStyle w:val="19"/>
        <w:pageBreakBefore w:val="0"/>
        <w:wordWrap/>
        <w:overflowPunct/>
        <w:autoSpaceDE/>
        <w:autoSpaceDN/>
        <w:bidi w:val="0"/>
        <w:spacing w:line="530" w:lineRule="exact"/>
        <w:rPr>
          <w:rFonts w:hint="eastAsia"/>
          <w:b/>
          <w:bCs/>
          <w:color w:val="auto"/>
          <w:highlight w:val="none"/>
        </w:rPr>
      </w:pPr>
      <w:r>
        <w:rPr>
          <w:rFonts w:hint="eastAsia"/>
          <w:b/>
          <w:bCs/>
          <w:color w:val="auto"/>
          <w:highlight w:val="none"/>
        </w:rPr>
        <w:t>打造创新实践平台</w:t>
      </w:r>
      <w:r>
        <w:rPr>
          <w:rFonts w:hint="eastAsia"/>
          <w:b/>
          <w:bCs/>
          <w:color w:val="auto"/>
          <w:highlight w:val="none"/>
          <w:lang w:eastAsia="zh-CN"/>
        </w:rPr>
        <w:t>。</w:t>
      </w:r>
      <w:r>
        <w:rPr>
          <w:rFonts w:hint="eastAsia"/>
          <w:b w:val="0"/>
          <w:bCs w:val="0"/>
          <w:color w:val="auto"/>
          <w:highlight w:val="none"/>
        </w:rPr>
        <w:t>建设青少年航空创客空间，配备</w:t>
      </w:r>
      <w:r>
        <w:rPr>
          <w:rFonts w:hint="eastAsia" w:ascii="Times New Roman" w:hAnsi="Times New Roman"/>
          <w:b w:val="0"/>
          <w:bCs w:val="0"/>
          <w:i w:val="0"/>
          <w:color w:val="auto"/>
          <w:highlight w:val="none"/>
        </w:rPr>
        <w:t>3</w:t>
      </w:r>
      <w:r>
        <w:rPr>
          <w:rFonts w:hint="eastAsia"/>
          <w:b w:val="0"/>
          <w:bCs w:val="0"/>
          <w:color w:val="auto"/>
          <w:highlight w:val="none"/>
        </w:rPr>
        <w:t>D打印机、激光切割机等设备，支持开展航模设计制作、无人机改装等创新实践。</w:t>
      </w:r>
      <w:r>
        <w:rPr>
          <w:rFonts w:hint="eastAsia"/>
          <w:b w:val="0"/>
          <w:bCs w:val="0"/>
          <w:color w:val="auto"/>
          <w:highlight w:val="none"/>
          <w:lang w:val="en-US" w:eastAsia="zh-CN"/>
        </w:rPr>
        <w:t>推动市级层面谋划</w:t>
      </w:r>
      <w:r>
        <w:rPr>
          <w:rFonts w:hint="eastAsia"/>
          <w:b w:val="0"/>
          <w:bCs w:val="0"/>
          <w:color w:val="auto"/>
          <w:highlight w:val="none"/>
        </w:rPr>
        <w:t>青少年航空科技创新大赛，选拔优秀学员参与航博城特色讲解志愿服务，组建青少年航空科技社团，并提供专业导师团队指导，构建从兴趣培养到专业发展的完整成长通道。</w:t>
      </w:r>
      <w:r>
        <w:rPr>
          <w:rFonts w:hint="eastAsia"/>
          <w:color w:val="auto"/>
          <w:highlight w:val="none"/>
        </w:rPr>
        <w:t>聘请功勋飞行员、</w:t>
      </w:r>
      <w:r>
        <w:rPr>
          <w:rFonts w:hint="eastAsia"/>
          <w:color w:val="auto"/>
          <w:highlight w:val="none"/>
          <w:lang w:val="en-US" w:eastAsia="zh-CN"/>
        </w:rPr>
        <w:t>航空</w:t>
      </w:r>
      <w:r>
        <w:rPr>
          <w:rFonts w:hint="eastAsia"/>
          <w:color w:val="auto"/>
          <w:highlight w:val="none"/>
        </w:rPr>
        <w:t>工程师、退役军官定期入校开展专题讲座与社团指导，形成“校内基础普及</w:t>
      </w:r>
      <w:r>
        <w:rPr>
          <w:rFonts w:hint="eastAsia" w:ascii="Times New Roman" w:hAnsi="Times New Roman"/>
          <w:color w:val="auto"/>
          <w:highlight w:val="none"/>
          <w:lang w:eastAsia="zh-CN"/>
        </w:rPr>
        <w:t>―</w:t>
      </w:r>
      <w:r>
        <w:rPr>
          <w:rFonts w:hint="eastAsia"/>
          <w:color w:val="auto"/>
          <w:highlight w:val="none"/>
        </w:rPr>
        <w:t>基地深度研学</w:t>
      </w:r>
      <w:r>
        <w:rPr>
          <w:rFonts w:hint="eastAsia" w:ascii="Times New Roman" w:hAnsi="Times New Roman"/>
          <w:color w:val="auto"/>
          <w:highlight w:val="none"/>
          <w:lang w:eastAsia="zh-CN"/>
        </w:rPr>
        <w:t>―</w:t>
      </w:r>
      <w:r>
        <w:rPr>
          <w:rFonts w:hint="eastAsia"/>
          <w:color w:val="auto"/>
          <w:highlight w:val="none"/>
        </w:rPr>
        <w:t>未来人才选拔”的贯通式培养链条，真正将航博城打造成为孕育未来航空人才的摇篮。</w:t>
      </w:r>
    </w:p>
    <w:p>
      <w:pPr>
        <w:pStyle w:val="3"/>
        <w:pageBreakBefore w:val="0"/>
        <w:wordWrap/>
        <w:overflowPunct/>
        <w:autoSpaceDE/>
        <w:autoSpaceDN/>
        <w:bidi w:val="0"/>
        <w:spacing w:line="530" w:lineRule="exact"/>
        <w:rPr>
          <w:rFonts w:hint="default"/>
          <w:color w:val="auto"/>
          <w:highlight w:val="none"/>
          <w:lang w:val="en-US" w:eastAsia="zh-CN"/>
        </w:rPr>
      </w:pPr>
      <w:bookmarkStart w:id="199" w:name="_Toc767608005"/>
      <w:bookmarkStart w:id="200" w:name="_Toc1766229409"/>
      <w:bookmarkStart w:id="201" w:name="_Toc1495406673"/>
      <w:bookmarkStart w:id="202" w:name="_Toc2010049859"/>
      <w:bookmarkStart w:id="203" w:name="_Toc1351388723"/>
      <w:bookmarkStart w:id="204" w:name="_Toc2068633827"/>
      <w:bookmarkStart w:id="205" w:name="_Toc687314601"/>
      <w:bookmarkStart w:id="206" w:name="_Toc315333711"/>
      <w:r>
        <w:rPr>
          <w:rFonts w:hint="eastAsia"/>
          <w:color w:val="auto"/>
          <w:highlight w:val="none"/>
          <w:lang w:val="en-US" w:eastAsia="zh-CN"/>
        </w:rPr>
        <w:t>践行协同有序的营城模式</w:t>
      </w:r>
      <w:bookmarkEnd w:id="199"/>
      <w:bookmarkEnd w:id="200"/>
      <w:bookmarkEnd w:id="201"/>
      <w:bookmarkEnd w:id="202"/>
      <w:bookmarkEnd w:id="203"/>
      <w:bookmarkEnd w:id="204"/>
      <w:bookmarkEnd w:id="205"/>
      <w:bookmarkEnd w:id="206"/>
    </w:p>
    <w:p>
      <w:pPr>
        <w:pStyle w:val="4"/>
        <w:pageBreakBefore w:val="0"/>
        <w:wordWrap/>
        <w:overflowPunct/>
        <w:autoSpaceDE/>
        <w:autoSpaceDN/>
        <w:bidi w:val="0"/>
        <w:spacing w:line="530" w:lineRule="exact"/>
        <w:rPr>
          <w:rFonts w:hint="default"/>
          <w:color w:val="auto"/>
          <w:highlight w:val="none"/>
          <w:lang w:val="en-US" w:eastAsia="zh-CN"/>
        </w:rPr>
      </w:pPr>
      <w:bookmarkStart w:id="207" w:name="_Toc1915969106"/>
      <w:bookmarkStart w:id="208" w:name="_Toc1971523628"/>
      <w:bookmarkStart w:id="209" w:name="_Toc1298832270"/>
      <w:bookmarkStart w:id="210" w:name="_Toc1253472506"/>
      <w:r>
        <w:rPr>
          <w:rFonts w:hint="eastAsia"/>
          <w:color w:val="auto"/>
          <w:highlight w:val="none"/>
          <w:lang w:val="en-US" w:eastAsia="zh-CN"/>
        </w:rPr>
        <w:t>推进有序开发提升土地效能</w:t>
      </w:r>
      <w:bookmarkEnd w:id="207"/>
      <w:bookmarkEnd w:id="208"/>
      <w:bookmarkEnd w:id="209"/>
      <w:bookmarkEnd w:id="210"/>
    </w:p>
    <w:p>
      <w:pPr>
        <w:pStyle w:val="19"/>
        <w:bidi w:val="0"/>
        <w:rPr>
          <w:rFonts w:hint="eastAsia"/>
          <w:highlight w:val="none"/>
          <w:lang w:val="en-US" w:eastAsia="zh-CN"/>
        </w:rPr>
      </w:pPr>
      <w:r>
        <w:rPr>
          <w:rFonts w:hint="eastAsia"/>
          <w:b/>
          <w:bCs/>
          <w:highlight w:val="none"/>
          <w:lang w:eastAsia="zh-CN"/>
        </w:rPr>
        <w:t>优化建设时序。</w:t>
      </w:r>
      <w:r>
        <w:rPr>
          <w:rFonts w:hint="eastAsia"/>
          <w:highlight w:val="none"/>
          <w:lang w:val="en-US" w:eastAsia="zh-CN"/>
        </w:rPr>
        <w:t>以“启航计划、领航计划、远航计划”为整体脉络组织分期开发。“启航计划”以起步区为腹地，</w:t>
      </w:r>
      <w:r>
        <w:rPr>
          <w:rFonts w:hint="eastAsia"/>
          <w:highlight w:val="none"/>
          <w:lang w:eastAsia="zh-CN"/>
        </w:rPr>
        <w:t>坚持基础设施</w:t>
      </w:r>
      <w:r>
        <w:rPr>
          <w:rFonts w:hint="eastAsia"/>
          <w:highlight w:val="none"/>
          <w:lang w:val="en-US" w:eastAsia="zh-CN"/>
        </w:rPr>
        <w:t>与</w:t>
      </w:r>
      <w:r>
        <w:rPr>
          <w:rFonts w:hint="eastAsia"/>
          <w:highlight w:val="none"/>
          <w:lang w:eastAsia="zh-CN"/>
        </w:rPr>
        <w:t>核心</w:t>
      </w:r>
      <w:r>
        <w:rPr>
          <w:rFonts w:hint="eastAsia"/>
          <w:highlight w:val="none"/>
          <w:lang w:val="en-US" w:eastAsia="zh-CN"/>
        </w:rPr>
        <w:t>场馆</w:t>
      </w:r>
      <w:r>
        <w:rPr>
          <w:rFonts w:hint="eastAsia"/>
          <w:highlight w:val="none"/>
          <w:lang w:eastAsia="zh-CN"/>
        </w:rPr>
        <w:t>项目优先，</w:t>
      </w:r>
      <w:r>
        <w:rPr>
          <w:rFonts w:hint="eastAsia"/>
          <w:highlight w:val="none"/>
          <w:lang w:val="en-US" w:eastAsia="zh-CN"/>
        </w:rPr>
        <w:t>逐步完善周围主干路网、蓝天公园、航空博物馆及东西副馆的建设</w:t>
      </w:r>
      <w:r>
        <w:rPr>
          <w:rFonts w:hint="eastAsia"/>
          <w:highlight w:val="none"/>
          <w:lang w:eastAsia="zh-CN"/>
        </w:rPr>
        <w:t>，以快速提升区域价值和人气。“</w:t>
      </w:r>
      <w:r>
        <w:rPr>
          <w:rFonts w:hint="eastAsia"/>
          <w:highlight w:val="none"/>
          <w:lang w:val="en-US" w:eastAsia="zh-CN"/>
        </w:rPr>
        <w:t>领航计划”以核心区为腹地，沿长白公路、皓月大路重点推进基础设施成网，逐步推进产业落位，加快形成连片开发态势和集聚发展效应，实现产业导入。“远航计划”以拓展区为腹地，营造智慧生产生活场景，强化片区联动，进一步提高发展能级和宜居水平。</w:t>
      </w:r>
    </w:p>
    <w:p>
      <w:pPr>
        <w:pStyle w:val="19"/>
        <w:bidi w:val="0"/>
        <w:rPr>
          <w:rFonts w:hint="eastAsia"/>
          <w:highlight w:val="none"/>
          <w:lang w:eastAsia="zh-CN"/>
        </w:rPr>
      </w:pPr>
      <w:r>
        <w:rPr>
          <w:rFonts w:hint="eastAsia"/>
          <w:b/>
          <w:bCs/>
          <w:highlight w:val="none"/>
          <w:lang w:eastAsia="zh-CN"/>
        </w:rPr>
        <w:t>推动土地</w:t>
      </w:r>
      <w:r>
        <w:rPr>
          <w:rFonts w:hint="eastAsia"/>
          <w:b/>
          <w:bCs/>
          <w:highlight w:val="none"/>
          <w:lang w:val="en-US" w:eastAsia="zh-CN"/>
        </w:rPr>
        <w:t>征收及</w:t>
      </w:r>
      <w:r>
        <w:rPr>
          <w:rFonts w:hint="eastAsia"/>
          <w:b/>
          <w:bCs/>
          <w:highlight w:val="none"/>
          <w:lang w:eastAsia="zh-CN"/>
        </w:rPr>
        <w:t>收储。</w:t>
      </w:r>
      <w:r>
        <w:rPr>
          <w:rFonts w:hint="eastAsia"/>
          <w:highlight w:val="none"/>
          <w:lang w:val="en-US" w:eastAsia="zh-CN"/>
        </w:rPr>
        <w:t>按照建设时序逐步推进航博城周边土地的有序征收及收储，</w:t>
      </w:r>
      <w:r>
        <w:rPr>
          <w:rFonts w:hint="eastAsia"/>
          <w:highlight w:val="none"/>
          <w:lang w:eastAsia="zh-CN"/>
        </w:rPr>
        <w:t>探索“货币+实物+权益”相结合的多元化补偿与利益共享方案，保障原</w:t>
      </w:r>
      <w:r>
        <w:rPr>
          <w:rFonts w:hint="eastAsia"/>
          <w:highlight w:val="none"/>
          <w:lang w:val="en-US" w:eastAsia="zh-CN"/>
        </w:rPr>
        <w:t>居</w:t>
      </w:r>
      <w:r>
        <w:rPr>
          <w:rFonts w:hint="eastAsia"/>
          <w:highlight w:val="none"/>
          <w:lang w:eastAsia="zh-CN"/>
        </w:rPr>
        <w:t>民的长期生计，从源头上减少征收难度；同时，推行收储与规划、审批等环节的“前置化与并联办理”，集中力量高效完成拆迁平整，为后续开发提供坚实的土地保障。</w:t>
      </w:r>
    </w:p>
    <w:p>
      <w:pPr>
        <w:pStyle w:val="19"/>
        <w:bidi w:val="0"/>
        <w:rPr>
          <w:rFonts w:hint="eastAsia"/>
          <w:highlight w:val="none"/>
          <w:lang w:eastAsia="zh-CN"/>
        </w:rPr>
      </w:pPr>
      <w:r>
        <w:rPr>
          <w:rFonts w:hint="eastAsia"/>
          <w:b/>
          <w:bCs/>
          <w:highlight w:val="none"/>
          <w:lang w:eastAsia="zh-CN"/>
        </w:rPr>
        <w:t>倡导土地复合利用。</w:t>
      </w:r>
      <w:r>
        <w:rPr>
          <w:rFonts w:hint="eastAsia"/>
          <w:highlight w:val="none"/>
          <w:lang w:eastAsia="zh-CN"/>
        </w:rPr>
        <w:t>为激发</w:t>
      </w:r>
      <w:r>
        <w:rPr>
          <w:rFonts w:hint="eastAsia"/>
          <w:highlight w:val="none"/>
          <w:lang w:val="en-US" w:eastAsia="zh-CN"/>
        </w:rPr>
        <w:t>航博城整体</w:t>
      </w:r>
      <w:r>
        <w:rPr>
          <w:rFonts w:hint="eastAsia"/>
          <w:highlight w:val="none"/>
          <w:lang w:eastAsia="zh-CN"/>
        </w:rPr>
        <w:t>活力，大力倡导土地复合利用，在规划上放宽用地性质兼容性，鼓励商业、研发、居住与文化等功能在垂直</w:t>
      </w:r>
      <w:r>
        <w:rPr>
          <w:rFonts w:hint="eastAsia"/>
          <w:highlight w:val="none"/>
          <w:lang w:val="en-US" w:eastAsia="zh-CN"/>
        </w:rPr>
        <w:t>及</w:t>
      </w:r>
      <w:r>
        <w:rPr>
          <w:rFonts w:hint="eastAsia"/>
          <w:highlight w:val="none"/>
          <w:lang w:eastAsia="zh-CN"/>
        </w:rPr>
        <w:t>平面上的混合布局，积极推动“航空展+”业态融合，实现空间与效益的最大化。集约节约利用土地，积极应用新工艺和地下空间，建立针对低效用地的弹性出让与退出机制，全方位提升土地的空间使用效率和可持续性。</w:t>
      </w:r>
    </w:p>
    <w:p>
      <w:pPr>
        <w:pStyle w:val="19"/>
        <w:bidi w:val="0"/>
        <w:rPr>
          <w:rFonts w:hint="eastAsia" w:ascii="仿宋_GB2312" w:hAnsi="仿宋_GB2312" w:eastAsia="仿宋_GB2312" w:cs="仿宋_GB2312"/>
          <w:color w:val="auto"/>
          <w:highlight w:val="none"/>
        </w:rPr>
      </w:pPr>
      <w:r>
        <w:rPr>
          <w:rFonts w:hint="eastAsia"/>
          <w:b/>
          <w:bCs/>
          <w:highlight w:val="none"/>
          <w:lang w:val="en-US" w:eastAsia="zh-CN"/>
        </w:rPr>
        <w:t>加速</w:t>
      </w:r>
      <w:r>
        <w:rPr>
          <w:rFonts w:hint="eastAsia"/>
          <w:b/>
          <w:bCs/>
          <w:highlight w:val="none"/>
        </w:rPr>
        <w:t>推动招商工作</w:t>
      </w:r>
      <w:r>
        <w:rPr>
          <w:rFonts w:hint="eastAsia"/>
          <w:b/>
          <w:bCs/>
          <w:highlight w:val="none"/>
          <w:lang w:eastAsia="zh-CN"/>
        </w:rPr>
        <w:t>。</w:t>
      </w:r>
      <w:r>
        <w:rPr>
          <w:rFonts w:hint="eastAsia"/>
          <w:highlight w:val="none"/>
        </w:rPr>
        <w:t>围绕“航空+文旅+商贸”的产业定位，制定精准的产业链招商图谱，面向行业龙头与创新企业开展定向招引</w:t>
      </w:r>
      <w:r>
        <w:rPr>
          <w:rFonts w:hint="eastAsia"/>
          <w:highlight w:val="none"/>
          <w:lang w:eastAsia="zh-CN"/>
        </w:rPr>
        <w:t>。</w:t>
      </w:r>
      <w:r>
        <w:rPr>
          <w:rFonts w:hint="eastAsia"/>
          <w:highlight w:val="none"/>
        </w:rPr>
        <w:t>以核心场馆与优质物业为筹码，推行“量身定制、带方案招商”等模式，确保优质项目能够“引得进、留得下、发展好”，为片区注入持续的经济活力与人才动力。</w:t>
      </w:r>
    </w:p>
    <w:p>
      <w:pPr>
        <w:pStyle w:val="4"/>
        <w:pageBreakBefore w:val="0"/>
        <w:wordWrap/>
        <w:overflowPunct/>
        <w:autoSpaceDE/>
        <w:autoSpaceDN/>
        <w:bidi w:val="0"/>
        <w:spacing w:line="530" w:lineRule="exact"/>
        <w:rPr>
          <w:rFonts w:hint="default"/>
          <w:color w:val="auto"/>
          <w:highlight w:val="none"/>
          <w:lang w:val="en-US" w:eastAsia="zh-CN"/>
        </w:rPr>
      </w:pPr>
      <w:bookmarkStart w:id="211" w:name="_Toc1872426233"/>
      <w:bookmarkStart w:id="212" w:name="_Toc175477777"/>
      <w:bookmarkStart w:id="213" w:name="_Toc302690135"/>
      <w:bookmarkStart w:id="214" w:name="_Toc297831272"/>
      <w:r>
        <w:rPr>
          <w:rFonts w:hint="eastAsia"/>
          <w:color w:val="auto"/>
          <w:highlight w:val="none"/>
          <w:lang w:val="en-US" w:eastAsia="zh-CN"/>
        </w:rPr>
        <w:t>塑造生态底色协同</w:t>
      </w:r>
      <w:r>
        <w:rPr>
          <w:rFonts w:hint="default"/>
          <w:color w:val="auto"/>
          <w:highlight w:val="none"/>
          <w:lang w:val="en-US" w:eastAsia="zh-CN"/>
        </w:rPr>
        <w:t>基础设施</w:t>
      </w:r>
      <w:bookmarkEnd w:id="211"/>
      <w:bookmarkEnd w:id="212"/>
      <w:bookmarkEnd w:id="213"/>
      <w:bookmarkEnd w:id="214"/>
    </w:p>
    <w:p>
      <w:pPr>
        <w:pStyle w:val="19"/>
        <w:bidi w:val="0"/>
        <w:rPr>
          <w:rFonts w:hint="eastAsia"/>
          <w:highlight w:val="none"/>
        </w:rPr>
      </w:pPr>
      <w:r>
        <w:rPr>
          <w:rFonts w:hint="eastAsia"/>
          <w:b/>
          <w:bCs/>
          <w:highlight w:val="none"/>
          <w:lang w:val="en-US" w:eastAsia="zh-CN"/>
        </w:rPr>
        <w:t>描绘</w:t>
      </w:r>
      <w:r>
        <w:rPr>
          <w:rFonts w:hint="eastAsia"/>
          <w:b/>
          <w:bCs/>
          <w:highlight w:val="none"/>
        </w:rPr>
        <w:t>人与自然和谐的生态</w:t>
      </w:r>
      <w:r>
        <w:rPr>
          <w:rFonts w:hint="eastAsia"/>
          <w:b/>
          <w:bCs/>
          <w:highlight w:val="none"/>
          <w:lang w:val="en-US" w:eastAsia="zh-CN"/>
        </w:rPr>
        <w:t>画卷</w:t>
      </w:r>
      <w:r>
        <w:rPr>
          <w:rFonts w:hint="eastAsia"/>
          <w:b/>
          <w:bCs/>
          <w:highlight w:val="none"/>
          <w:lang w:eastAsia="zh-CN"/>
        </w:rPr>
        <w:t>。</w:t>
      </w:r>
      <w:r>
        <w:rPr>
          <w:rFonts w:hint="eastAsia"/>
          <w:highlight w:val="none"/>
          <w:lang w:eastAsia="zh-CN"/>
        </w:rPr>
        <w:t>依托绿园区“半城半田”的独特生态本底，以蓝天公园为核心节点，系统构建贯通全域的生态休闲空间体系。通过布置航空主题雕塑、英雄人物纪念墙等文化元素，打造富有特色的航空文化景观带，强化区域文化标识。同步推进环湖绿道与长春市城市绿道系统的无缝衔接，配套建设休闲驿站、健身设施等服务节点，实现“航空文化体验+生态休闲健身”双功能有机融合。在此基础上，进一步构建连贯的绿色空间网络与生态水系，全面提升区域生态环境品质，为市民和游客提供高品质的休闲游憩场所，持续增强区域吸引力与生活幸福感。</w:t>
      </w:r>
    </w:p>
    <w:p>
      <w:pPr>
        <w:pStyle w:val="19"/>
        <w:bidi w:val="0"/>
        <w:rPr>
          <w:highlight w:val="none"/>
        </w:rPr>
      </w:pPr>
      <w:r>
        <w:rPr>
          <w:rFonts w:hint="eastAsia"/>
          <w:b/>
          <w:bCs/>
          <w:highlight w:val="none"/>
        </w:rPr>
        <w:t>建设</w:t>
      </w:r>
      <w:r>
        <w:rPr>
          <w:rFonts w:hint="eastAsia"/>
          <w:b/>
          <w:bCs/>
          <w:highlight w:val="none"/>
          <w:lang w:val="en-US" w:eastAsia="zh-CN"/>
        </w:rPr>
        <w:t>安全</w:t>
      </w:r>
      <w:r>
        <w:rPr>
          <w:rFonts w:hint="eastAsia"/>
          <w:b/>
          <w:bCs/>
          <w:highlight w:val="none"/>
        </w:rPr>
        <w:t>韧性市政设施体系。</w:t>
      </w:r>
      <w:r>
        <w:rPr>
          <w:rFonts w:hint="eastAsia"/>
          <w:highlight w:val="none"/>
        </w:rPr>
        <w:t>为系统提升</w:t>
      </w:r>
      <w:r>
        <w:rPr>
          <w:rFonts w:hint="eastAsia"/>
          <w:highlight w:val="none"/>
          <w:lang w:val="en-US" w:eastAsia="zh-CN"/>
        </w:rPr>
        <w:t>航博城片区</w:t>
      </w:r>
      <w:r>
        <w:rPr>
          <w:rFonts w:hint="eastAsia"/>
          <w:highlight w:val="none"/>
        </w:rPr>
        <w:t>城市功能与承载能力，以现代科技为支撑，统筹推进片区基础设施的整体规划与协同实施。聚焦主要街路及城中村改造，重点对各类缆线管廊进行统一规整与智能化升级，构建安全、集约、高效的市政廊道体系。</w:t>
      </w:r>
      <w:r>
        <w:rPr>
          <w:rFonts w:hint="eastAsia"/>
          <w:highlight w:val="none"/>
          <w:lang w:eastAsia="zh-CN"/>
        </w:rPr>
        <w:t>加快</w:t>
      </w:r>
      <w:r>
        <w:rPr>
          <w:rFonts w:hint="eastAsia"/>
          <w:highlight w:val="none"/>
        </w:rPr>
        <w:t>补齐区域内部供水、供电、供热、燃气、通信等基础配套设施短板，夯实城市运行保障根基，并同步推动相关设施向航展周边区域延伸覆盖，实现联动发展。结合城市更新行动，持续推进皓月大路等主要干道沿线环境提升、高铁沿线综合整治及城中村整体改造等工程，在强化水电气热等市政供给能力的同时，持续优化区域空间形态与风貌形象，全方位增强城市综合发展能力。</w:t>
      </w:r>
    </w:p>
    <w:p>
      <w:pPr>
        <w:pStyle w:val="19"/>
        <w:bidi w:val="0"/>
        <w:rPr>
          <w:rFonts w:hint="eastAsia"/>
          <w:highlight w:val="none"/>
          <w:lang w:val="en-US" w:eastAsia="zh-CN"/>
        </w:rPr>
      </w:pPr>
      <w:r>
        <w:rPr>
          <w:rFonts w:hint="eastAsia"/>
          <w:b/>
          <w:bCs/>
          <w:highlight w:val="none"/>
        </w:rPr>
        <w:t>建设智慧</w:t>
      </w:r>
      <w:r>
        <w:rPr>
          <w:rFonts w:hint="eastAsia"/>
          <w:b/>
          <w:bCs/>
          <w:highlight w:val="none"/>
          <w:lang w:val="en-US" w:eastAsia="zh-CN"/>
        </w:rPr>
        <w:t>便捷</w:t>
      </w:r>
      <w:r>
        <w:rPr>
          <w:rFonts w:hint="eastAsia"/>
          <w:b/>
          <w:bCs/>
          <w:highlight w:val="none"/>
        </w:rPr>
        <w:t>交通</w:t>
      </w:r>
      <w:r>
        <w:rPr>
          <w:rFonts w:hint="eastAsia"/>
          <w:b/>
          <w:bCs/>
          <w:highlight w:val="none"/>
          <w:lang w:val="en-US" w:eastAsia="zh-CN"/>
        </w:rPr>
        <w:t>设施</w:t>
      </w:r>
      <w:r>
        <w:rPr>
          <w:rFonts w:hint="eastAsia"/>
          <w:b/>
          <w:bCs/>
          <w:highlight w:val="none"/>
        </w:rPr>
        <w:t>体系。</w:t>
      </w:r>
      <w:r>
        <w:rPr>
          <w:rFonts w:hint="eastAsia"/>
          <w:highlight w:val="none"/>
          <w:lang w:val="en-US" w:eastAsia="zh-CN"/>
        </w:rPr>
        <w:t>持续</w:t>
      </w:r>
      <w:r>
        <w:rPr>
          <w:rFonts w:hint="eastAsia"/>
          <w:highlight w:val="none"/>
        </w:rPr>
        <w:t>推进迎宾路、航展路等道路建设工作，</w:t>
      </w:r>
      <w:r>
        <w:rPr>
          <w:rFonts w:hint="eastAsia"/>
          <w:highlight w:val="none"/>
          <w:lang w:val="en-US" w:eastAsia="zh-CN"/>
        </w:rPr>
        <w:t>进一步保障</w:t>
      </w:r>
      <w:r>
        <w:rPr>
          <w:rFonts w:hint="eastAsia"/>
          <w:highlight w:val="none"/>
        </w:rPr>
        <w:t>航</w:t>
      </w:r>
      <w:r>
        <w:rPr>
          <w:rFonts w:hint="eastAsia"/>
          <w:highlight w:val="none"/>
          <w:lang w:val="en-US" w:eastAsia="zh-CN"/>
        </w:rPr>
        <w:t>空</w:t>
      </w:r>
      <w:r>
        <w:rPr>
          <w:rFonts w:hint="eastAsia"/>
          <w:highlight w:val="none"/>
        </w:rPr>
        <w:t>展</w:t>
      </w:r>
      <w:r>
        <w:rPr>
          <w:rFonts w:hint="eastAsia"/>
          <w:highlight w:val="none"/>
          <w:lang w:val="en-US" w:eastAsia="zh-CN"/>
        </w:rPr>
        <w:t>举办</w:t>
      </w:r>
      <w:r>
        <w:rPr>
          <w:rFonts w:hint="eastAsia"/>
          <w:highlight w:val="none"/>
        </w:rPr>
        <w:t>。同步构建以</w:t>
      </w:r>
      <w:r>
        <w:rPr>
          <w:rFonts w:hint="eastAsia"/>
          <w:highlight w:val="none"/>
          <w:lang w:val="en-US" w:eastAsia="zh-CN"/>
        </w:rPr>
        <w:t>皓月大路</w:t>
      </w:r>
      <w:r>
        <w:rPr>
          <w:rFonts w:hint="eastAsia"/>
          <w:highlight w:val="none"/>
        </w:rPr>
        <w:t>、迎宾路</w:t>
      </w:r>
      <w:r>
        <w:rPr>
          <w:rFonts w:hint="eastAsia"/>
          <w:highlight w:val="none"/>
          <w:lang w:eastAsia="zh-CN"/>
        </w:rPr>
        <w:t>、</w:t>
      </w:r>
      <w:r>
        <w:rPr>
          <w:rFonts w:hint="eastAsia"/>
          <w:highlight w:val="none"/>
        </w:rPr>
        <w:t>长白公路为“</w:t>
      </w:r>
      <w:r>
        <w:rPr>
          <w:rFonts w:hint="eastAsia"/>
          <w:highlight w:val="none"/>
          <w:lang w:val="en-US" w:eastAsia="zh-CN"/>
        </w:rPr>
        <w:t>三</w:t>
      </w:r>
      <w:r>
        <w:rPr>
          <w:rFonts w:hint="eastAsia"/>
          <w:highlight w:val="none"/>
        </w:rPr>
        <w:t>横”，西四环路</w:t>
      </w:r>
      <w:r>
        <w:rPr>
          <w:rFonts w:hint="eastAsia"/>
          <w:highlight w:val="none"/>
          <w:lang w:eastAsia="zh-CN"/>
        </w:rPr>
        <w:t>、</w:t>
      </w:r>
      <w:r>
        <w:rPr>
          <w:rFonts w:hint="eastAsia"/>
          <w:highlight w:val="none"/>
        </w:rPr>
        <w:t>小五环路为“两纵”的“</w:t>
      </w:r>
      <w:r>
        <w:rPr>
          <w:rFonts w:hint="eastAsia"/>
          <w:highlight w:val="none"/>
          <w:lang w:val="en-US" w:eastAsia="zh-CN"/>
        </w:rPr>
        <w:t>三</w:t>
      </w:r>
      <w:r>
        <w:rPr>
          <w:rFonts w:hint="eastAsia"/>
          <w:highlight w:val="none"/>
        </w:rPr>
        <w:t>横两纵”骨干路网系统，增强区域内部循环与对外联通能力。统筹</w:t>
      </w:r>
      <w:r>
        <w:rPr>
          <w:rFonts w:hint="eastAsia"/>
          <w:highlight w:val="none"/>
          <w:lang w:val="en-US" w:eastAsia="zh-CN"/>
        </w:rPr>
        <w:t>推动</w:t>
      </w:r>
      <w:r>
        <w:rPr>
          <w:rFonts w:hint="eastAsia"/>
          <w:highlight w:val="none"/>
        </w:rPr>
        <w:t>布局</w:t>
      </w:r>
      <w:r>
        <w:rPr>
          <w:rFonts w:hint="eastAsia"/>
          <w:highlight w:val="none"/>
          <w:lang w:val="en-US" w:eastAsia="zh-CN"/>
        </w:rPr>
        <w:t>多</w:t>
      </w:r>
      <w:r>
        <w:rPr>
          <w:rFonts w:hint="eastAsia"/>
          <w:highlight w:val="none"/>
        </w:rPr>
        <w:t>条公交线路，增设从市中心、龙嘉机场、长春站、长春西站、长途客运站等重要枢纽至航展中心的公交直达专线，显著提升观众观展的便捷性。统筹规划建设大型固定</w:t>
      </w:r>
      <w:r>
        <w:rPr>
          <w:rFonts w:hint="eastAsia"/>
          <w:highlight w:val="none"/>
          <w:lang w:val="en-US" w:eastAsia="zh-CN"/>
        </w:rPr>
        <w:t>智慧</w:t>
      </w:r>
      <w:r>
        <w:rPr>
          <w:rFonts w:hint="eastAsia"/>
          <w:highlight w:val="none"/>
        </w:rPr>
        <w:t>停车场、临时停车区及应急停车空间，有效应对航展期间集中停车压力。结合公交专线、轨道交通与停车设施，形成“停车+接驳”系统方案，缓解核心区交通拥堵，保障出行效率。</w:t>
      </w:r>
    </w:p>
    <w:p>
      <w:pPr>
        <w:pStyle w:val="4"/>
        <w:pageBreakBefore w:val="0"/>
        <w:wordWrap/>
        <w:overflowPunct/>
        <w:autoSpaceDE/>
        <w:autoSpaceDN/>
        <w:bidi w:val="0"/>
        <w:spacing w:line="530" w:lineRule="exact"/>
        <w:rPr>
          <w:rFonts w:hint="default"/>
          <w:color w:val="auto"/>
          <w:highlight w:val="none"/>
          <w:lang w:val="en-US" w:eastAsia="zh-CN"/>
        </w:rPr>
      </w:pPr>
      <w:bookmarkStart w:id="215" w:name="_Toc2071822849"/>
      <w:bookmarkStart w:id="216" w:name="_Toc759950708"/>
      <w:bookmarkStart w:id="217" w:name="_Toc2013290994"/>
      <w:bookmarkStart w:id="218" w:name="_Toc642334893"/>
      <w:r>
        <w:rPr>
          <w:rFonts w:hint="eastAsia"/>
          <w:color w:val="auto"/>
          <w:highlight w:val="none"/>
          <w:lang w:val="en-US" w:eastAsia="zh-CN"/>
        </w:rPr>
        <w:t>营造商业氛围完善服务设施</w:t>
      </w:r>
      <w:bookmarkEnd w:id="215"/>
      <w:bookmarkEnd w:id="216"/>
      <w:bookmarkEnd w:id="217"/>
      <w:bookmarkEnd w:id="218"/>
    </w:p>
    <w:p>
      <w:pPr>
        <w:pStyle w:val="19"/>
        <w:bidi w:val="0"/>
        <w:rPr>
          <w:rFonts w:hint="eastAsia"/>
          <w:highlight w:val="none"/>
          <w:lang w:val="en-US" w:eastAsia="zh-CN"/>
        </w:rPr>
      </w:pPr>
      <w:r>
        <w:rPr>
          <w:rFonts w:hint="eastAsia"/>
          <w:b/>
          <w:bCs/>
          <w:highlight w:val="none"/>
        </w:rPr>
        <w:t>完善商业</w:t>
      </w:r>
      <w:r>
        <w:rPr>
          <w:rFonts w:hint="eastAsia"/>
          <w:b/>
          <w:bCs/>
          <w:highlight w:val="none"/>
          <w:lang w:val="en-US" w:eastAsia="zh-CN"/>
        </w:rPr>
        <w:t>设施</w:t>
      </w:r>
      <w:r>
        <w:rPr>
          <w:rFonts w:hint="eastAsia"/>
          <w:b/>
          <w:bCs/>
          <w:highlight w:val="none"/>
        </w:rPr>
        <w:t>配套体系。</w:t>
      </w:r>
      <w:r>
        <w:rPr>
          <w:rFonts w:hint="eastAsia"/>
          <w:highlight w:val="none"/>
        </w:rPr>
        <w:t>将长春打造成为具有全国影响力的航空航天特色消费目的地，以</w:t>
      </w:r>
      <w:r>
        <w:rPr>
          <w:rFonts w:hint="eastAsia"/>
          <w:highlight w:val="none"/>
          <w:lang w:eastAsia="zh-CN"/>
        </w:rPr>
        <w:t>航博城</w:t>
      </w:r>
      <w:r>
        <w:rPr>
          <w:rFonts w:hint="eastAsia"/>
          <w:highlight w:val="none"/>
        </w:rPr>
        <w:t>为核心，系统构建集“吃住行游购娱”于一体的主题商圈，全面覆盖不同年龄与消费层级游客的需求。通过打造沉浸式航空主题商业街区，引入航空模型、专业器材等特色零售及创意主题餐饮</w:t>
      </w:r>
      <w:r>
        <w:rPr>
          <w:rFonts w:hint="eastAsia"/>
          <w:highlight w:val="none"/>
          <w:lang w:eastAsia="zh-CN"/>
        </w:rPr>
        <w:t>。</w:t>
      </w:r>
      <w:r>
        <w:rPr>
          <w:rFonts w:hint="eastAsia"/>
          <w:highlight w:val="none"/>
        </w:rPr>
        <w:t>深度融合VR/AR等前沿技术，开发模拟飞行舱等沉浸式娱乐项目，提升科技体验感</w:t>
      </w:r>
      <w:r>
        <w:rPr>
          <w:rFonts w:hint="eastAsia"/>
          <w:highlight w:val="none"/>
          <w:lang w:eastAsia="zh-CN"/>
        </w:rPr>
        <w:t>。</w:t>
      </w:r>
      <w:r>
        <w:rPr>
          <w:rFonts w:hint="eastAsia"/>
          <w:highlight w:val="none"/>
        </w:rPr>
        <w:t>依托航空文旅热度，在</w:t>
      </w:r>
      <w:r>
        <w:rPr>
          <w:rFonts w:hint="eastAsia"/>
          <w:highlight w:val="none"/>
          <w:lang w:val="en-US" w:eastAsia="zh-CN"/>
        </w:rPr>
        <w:t>新民大街、南广场、宽城子等</w:t>
      </w:r>
      <w:r>
        <w:rPr>
          <w:rFonts w:hint="eastAsia"/>
          <w:highlight w:val="none"/>
        </w:rPr>
        <w:t>历史</w:t>
      </w:r>
      <w:r>
        <w:rPr>
          <w:rFonts w:hint="eastAsia"/>
          <w:highlight w:val="none"/>
          <w:lang w:val="en-US" w:eastAsia="zh-CN"/>
        </w:rPr>
        <w:t>文化</w:t>
      </w:r>
      <w:r>
        <w:rPr>
          <w:rFonts w:hint="eastAsia"/>
          <w:highlight w:val="none"/>
        </w:rPr>
        <w:t>街区植入主题集市，并谋划落位高端星级酒店与城市商业综合体，全面覆盖不同年龄与消费层级需求，带动旅游、餐饮、住宿等产业协同升级。</w:t>
      </w:r>
    </w:p>
    <w:p>
      <w:pPr>
        <w:pStyle w:val="19"/>
        <w:bidi w:val="0"/>
        <w:rPr>
          <w:rFonts w:hint="default"/>
          <w:highlight w:val="none"/>
          <w:lang w:val="en-US" w:eastAsia="zh-CN"/>
        </w:rPr>
      </w:pPr>
      <w:r>
        <w:rPr>
          <w:rFonts w:hint="eastAsia"/>
          <w:b/>
          <w:bCs/>
          <w:highlight w:val="none"/>
          <w:lang w:val="en-US" w:eastAsia="zh-CN"/>
        </w:rPr>
        <w:t>建设高效便捷旅游服务系统。</w:t>
      </w:r>
      <w:r>
        <w:rPr>
          <w:rFonts w:hint="eastAsia"/>
          <w:highlight w:val="none"/>
          <w:lang w:val="en-US" w:eastAsia="zh-CN"/>
        </w:rPr>
        <w:t>建立多层级旅游服务中心体系，在机场、高铁站等交通枢纽设立一级旅游服务中心，提供票务、导览、交通接驳及多语种服务。在航博城主入口设立二级服务中心，配备专业的讲解员队伍；在各功能区入口设立服务点，形成全覆盖的服务网络。同步开发全域智慧旅游平台，整合线上预约、智能导览、电子讲解、紧急求助等功能，为游客提供数字化服务体验。提升航空展期间整体服务能级，持续加强硬件设施的建设，完善服务漏洞，保障游客的观展体验。</w:t>
      </w:r>
    </w:p>
    <w:p>
      <w:pPr>
        <w:pStyle w:val="19"/>
        <w:pageBreakBefore w:val="0"/>
        <w:wordWrap/>
        <w:overflowPunct/>
        <w:autoSpaceDE/>
        <w:autoSpaceDN/>
        <w:bidi w:val="0"/>
        <w:spacing w:line="530" w:lineRule="exact"/>
        <w:rPr>
          <w:rFonts w:hint="default"/>
          <w:color w:val="auto"/>
          <w:highlight w:val="none"/>
          <w:lang w:val="en-US" w:eastAsia="zh-CN"/>
        </w:rPr>
      </w:pPr>
      <w:r>
        <w:rPr>
          <w:rFonts w:hint="default"/>
          <w:b/>
          <w:bCs/>
          <w:color w:val="auto"/>
          <w:highlight w:val="none"/>
          <w:lang w:val="en-US" w:eastAsia="zh-CN"/>
        </w:rPr>
        <w:t>强化</w:t>
      </w:r>
      <w:r>
        <w:rPr>
          <w:rFonts w:hint="eastAsia"/>
          <w:b/>
          <w:bCs/>
          <w:color w:val="auto"/>
          <w:highlight w:val="none"/>
          <w:lang w:val="en-US" w:eastAsia="zh-CN"/>
        </w:rPr>
        <w:t>整体特色</w:t>
      </w:r>
      <w:r>
        <w:rPr>
          <w:rFonts w:hint="default"/>
          <w:b/>
          <w:bCs/>
          <w:color w:val="auto"/>
          <w:highlight w:val="none"/>
          <w:lang w:val="en-US" w:eastAsia="zh-CN"/>
        </w:rPr>
        <w:t>风貌引导</w:t>
      </w:r>
      <w:r>
        <w:rPr>
          <w:rFonts w:hint="eastAsia"/>
          <w:b/>
          <w:bCs/>
          <w:color w:val="auto"/>
          <w:highlight w:val="none"/>
          <w:lang w:val="en-US" w:eastAsia="zh-CN"/>
        </w:rPr>
        <w:t>。</w:t>
      </w:r>
      <w:r>
        <w:rPr>
          <w:rFonts w:hint="default"/>
          <w:color w:val="auto"/>
          <w:highlight w:val="none"/>
          <w:lang w:val="en-US" w:eastAsia="zh-CN"/>
        </w:rPr>
        <w:t>对新建建筑提出分区域、分类型的风貌指引，</w:t>
      </w:r>
      <w:r>
        <w:rPr>
          <w:rFonts w:hint="eastAsia"/>
          <w:color w:val="auto"/>
          <w:highlight w:val="none"/>
          <w:lang w:val="en-US" w:eastAsia="zh-CN"/>
        </w:rPr>
        <w:t>各功能区之间形成特色分明的、统一协调的风貌。</w:t>
      </w:r>
      <w:r>
        <w:rPr>
          <w:rFonts w:hint="default"/>
          <w:color w:val="auto"/>
          <w:highlight w:val="none"/>
          <w:lang w:val="en-US" w:eastAsia="zh-CN"/>
        </w:rPr>
        <w:t>在</w:t>
      </w:r>
      <w:r>
        <w:rPr>
          <w:rFonts w:hint="eastAsia"/>
          <w:color w:val="auto"/>
          <w:highlight w:val="none"/>
          <w:lang w:val="en-US" w:eastAsia="zh-CN"/>
        </w:rPr>
        <w:t>航博城</w:t>
      </w:r>
      <w:r>
        <w:rPr>
          <w:rFonts w:hint="default"/>
          <w:color w:val="auto"/>
          <w:highlight w:val="none"/>
          <w:lang w:val="en-US" w:eastAsia="zh-CN"/>
        </w:rPr>
        <w:t>核心区域及城市主干道沿线，规划布局若干具有航空意象的标志性建筑，形成错落有致、识别度高的天际线。对皓月大路、</w:t>
      </w:r>
      <w:r>
        <w:rPr>
          <w:rFonts w:hint="eastAsia"/>
          <w:color w:val="auto"/>
          <w:highlight w:val="none"/>
          <w:lang w:val="en-US" w:eastAsia="zh-CN"/>
        </w:rPr>
        <w:t>迎宾路、西四环路、</w:t>
      </w:r>
      <w:r>
        <w:rPr>
          <w:rFonts w:hint="default"/>
          <w:color w:val="auto"/>
          <w:highlight w:val="none"/>
          <w:lang w:val="en-US" w:eastAsia="zh-CN"/>
        </w:rPr>
        <w:t>长春西站等主要街路、重要交通枢纽及建筑立面进行美化，重点打造富含航空特色与文化内涵的形象标志，展现空军历史与城市西部融合发展的独特风貌与魅力。提升公共空间品质，对</w:t>
      </w:r>
      <w:r>
        <w:rPr>
          <w:rFonts w:hint="eastAsia"/>
          <w:color w:val="auto"/>
          <w:highlight w:val="none"/>
          <w:lang w:val="en-US" w:eastAsia="zh-CN"/>
        </w:rPr>
        <w:t>航博城内</w:t>
      </w:r>
      <w:r>
        <w:rPr>
          <w:rFonts w:hint="default"/>
          <w:color w:val="auto"/>
          <w:highlight w:val="none"/>
          <w:lang w:val="en-US" w:eastAsia="zh-CN"/>
        </w:rPr>
        <w:t>重要道路进行整体改造，统筹规划机动车道、慢行系统、街道家具和绿化景观，打造安全、舒适、美观的线性空间。利用零散空地、街角绿地，建设一批融入航空元素的小微公园、休闲广场，设置休憩设施、互动装置，增加</w:t>
      </w:r>
      <w:r>
        <w:rPr>
          <w:rFonts w:hint="eastAsia"/>
          <w:color w:val="auto"/>
          <w:highlight w:val="none"/>
          <w:lang w:val="en-US" w:eastAsia="zh-CN"/>
        </w:rPr>
        <w:t>游客、</w:t>
      </w:r>
      <w:r>
        <w:rPr>
          <w:rFonts w:hint="default"/>
          <w:color w:val="auto"/>
          <w:highlight w:val="none"/>
          <w:lang w:val="en-US" w:eastAsia="zh-CN"/>
        </w:rPr>
        <w:t>市民交往与休闲空间。</w:t>
      </w:r>
    </w:p>
    <w:tbl>
      <w:tblPr>
        <w:tblStyle w:val="2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 xml:space="preserve">专栏 </w:t>
            </w:r>
            <w:r>
              <w:rPr>
                <w:rFonts w:hint="eastAsia" w:ascii="Times New Roman" w:hAnsi="Times New Roman"/>
                <w:b w:val="0"/>
                <w:i w:val="0"/>
                <w:color w:val="auto"/>
                <w:highlight w:val="none"/>
                <w:lang w:val="en-US" w:eastAsia="zh-CN"/>
              </w:rPr>
              <w:t>2</w:t>
            </w:r>
            <w:r>
              <w:rPr>
                <w:rFonts w:hint="eastAsia"/>
                <w:color w:val="auto"/>
                <w:highlight w:val="none"/>
                <w:lang w:val="en-US" w:eastAsia="zh-CN"/>
              </w:rPr>
              <w:t>加快推进航博城建设</w:t>
            </w:r>
            <w:r>
              <w:rPr>
                <w:color w:val="auto"/>
                <w:highlight w:val="none"/>
              </w:rPr>
              <w:t>重点项目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tcPr>
          <w:p>
            <w:pPr>
              <w:pStyle w:val="22"/>
              <w:keepNext w:val="0"/>
              <w:keepLines w:val="0"/>
              <w:pageBreakBefore w:val="0"/>
              <w:widowControl w:val="0"/>
              <w:wordWrap/>
              <w:overflowPunct/>
              <w:topLinePunct w:val="0"/>
              <w:autoSpaceDE/>
              <w:autoSpaceDN/>
              <w:bidi w:val="0"/>
              <w:spacing w:line="300" w:lineRule="exact"/>
              <w:rPr>
                <w:rFonts w:hint="eastAsia" w:ascii="Times New Roman" w:hAnsi="Times New Roman" w:cs="Times New Roman"/>
                <w:color w:val="auto"/>
                <w:highlight w:val="none"/>
              </w:rPr>
            </w:pPr>
            <w:r>
              <w:rPr>
                <w:rFonts w:hint="eastAsia" w:ascii="Times New Roman" w:hAnsi="Times New Roman"/>
                <w:b w:val="0"/>
                <w:i w:val="0"/>
                <w:color w:val="auto"/>
                <w:highlight w:val="none"/>
                <w:lang w:val="en-US" w:eastAsia="zh-CN"/>
              </w:rPr>
              <w:t>1</w:t>
            </w:r>
            <w:r>
              <w:rPr>
                <w:rFonts w:hint="eastAsia"/>
                <w:color w:val="auto"/>
                <w:highlight w:val="none"/>
                <w:lang w:val="en-US" w:eastAsia="zh-CN"/>
              </w:rPr>
              <w:t>.</w:t>
            </w:r>
            <w:r>
              <w:rPr>
                <w:rFonts w:hint="eastAsia" w:ascii="Times New Roman" w:hAnsi="Times New Roman" w:cs="Times New Roman"/>
                <w:color w:val="auto"/>
                <w:highlight w:val="none"/>
              </w:rPr>
              <w:t>推动布局航空制造产业</w:t>
            </w:r>
          </w:p>
          <w:p>
            <w:pPr>
              <w:pStyle w:val="23"/>
              <w:keepNext w:val="0"/>
              <w:keepLines w:val="0"/>
              <w:pageBreakBefore w:val="0"/>
              <w:widowControl w:val="0"/>
              <w:wordWrap/>
              <w:overflowPunct/>
              <w:topLinePunct w:val="0"/>
              <w:autoSpaceDE/>
              <w:autoSpaceDN/>
              <w:bidi w:val="0"/>
              <w:spacing w:line="300" w:lineRule="exact"/>
              <w:rPr>
                <w:rFonts w:hint="eastAsia" w:ascii="Times New Roman" w:hAnsi="Times New Roman" w:eastAsia="楷体_GB2312" w:cs="Times New Roman"/>
                <w:color w:val="auto"/>
                <w:highlight w:val="none"/>
                <w:lang w:val="en-US" w:eastAsia="zh-CN"/>
              </w:rPr>
            </w:pPr>
            <w:r>
              <w:rPr>
                <w:rFonts w:cs="Times New Roman"/>
                <w:color w:val="auto"/>
                <w:highlight w:val="none"/>
              </w:rPr>
              <w:t>大力发展航空电子电气电机、航空发动机、航空内饰、航空零部件及整机制造等产业</w:t>
            </w:r>
            <w:r>
              <w:rPr>
                <w:rFonts w:hint="eastAsia" w:cs="Times New Roman"/>
                <w:color w:val="auto"/>
                <w:highlight w:val="none"/>
                <w:lang w:eastAsia="zh-CN"/>
              </w:rPr>
              <w:t>，</w:t>
            </w:r>
            <w:r>
              <w:rPr>
                <w:rFonts w:ascii="Times New Roman" w:hAnsi="Times New Roman" w:cs="Times New Roman"/>
                <w:color w:val="auto"/>
                <w:szCs w:val="32"/>
                <w:highlight w:val="none"/>
                <w:lang w:bidi="ar"/>
              </w:rPr>
              <w:t>结合绿园</w:t>
            </w:r>
            <w:r>
              <w:rPr>
                <w:rFonts w:hint="eastAsia" w:ascii="Times New Roman" w:hAnsi="Times New Roman" w:cs="Times New Roman"/>
                <w:color w:val="auto"/>
                <w:szCs w:val="32"/>
                <w:highlight w:val="none"/>
                <w:lang w:val="en-US" w:eastAsia="zh-CN" w:bidi="ar"/>
              </w:rPr>
              <w:t>经济开发区</w:t>
            </w:r>
            <w:r>
              <w:rPr>
                <w:rFonts w:ascii="Times New Roman" w:hAnsi="Times New Roman" w:cs="Times New Roman"/>
                <w:color w:val="auto"/>
                <w:szCs w:val="32"/>
                <w:highlight w:val="none"/>
                <w:lang w:bidi="ar"/>
              </w:rPr>
              <w:t>推动低空装备产业集中区、园区建设，围绕无人机整机制造、复合材料、传感器、飞控系统等关键领域引进头部企业</w:t>
            </w:r>
            <w:r>
              <w:rPr>
                <w:rFonts w:hint="eastAsia" w:ascii="Times New Roman" w:hAnsi="Times New Roman" w:cs="Times New Roman"/>
                <w:color w:val="auto"/>
                <w:szCs w:val="32"/>
                <w:highlight w:val="none"/>
                <w:lang w:eastAsia="zh-CN" w:bidi="ar"/>
              </w:rPr>
              <w:t>。</w:t>
            </w:r>
            <w:r>
              <w:rPr>
                <w:rFonts w:ascii="Times New Roman" w:hAnsi="Times New Roman" w:cs="Times New Roman"/>
                <w:color w:val="auto"/>
                <w:szCs w:val="32"/>
                <w:highlight w:val="none"/>
              </w:rPr>
              <w:t>依托</w:t>
            </w:r>
            <w:r>
              <w:rPr>
                <w:rFonts w:hint="eastAsia" w:ascii="Times New Roman" w:hAnsi="Times New Roman" w:cs="Times New Roman"/>
                <w:color w:val="auto"/>
                <w:szCs w:val="32"/>
                <w:highlight w:val="none"/>
                <w:lang w:val="en-US" w:eastAsia="zh-CN"/>
              </w:rPr>
              <w:t>绿园经济开发区（</w:t>
            </w:r>
            <w:r>
              <w:rPr>
                <w:rFonts w:ascii="Times New Roman" w:hAnsi="Times New Roman" w:cs="Times New Roman"/>
                <w:color w:val="auto"/>
                <w:szCs w:val="32"/>
                <w:highlight w:val="none"/>
              </w:rPr>
              <w:t>南区</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打造航空特种车辆产业集中区，重点发展廊桥车、航空加油车</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登机车、飞机电源车、飞机牵引车等整车产品及相关配套产品</w:t>
            </w:r>
            <w:r>
              <w:rPr>
                <w:rFonts w:hint="eastAsia" w:ascii="Times New Roman" w:hAnsi="Times New Roman" w:cs="Times New Roman"/>
                <w:color w:val="auto"/>
                <w:szCs w:val="32"/>
                <w:highlight w:val="none"/>
                <w:lang w:eastAsia="zh-CN"/>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w:t>
            </w:r>
            <w:r>
              <w:rPr>
                <w:color w:val="auto"/>
                <w:highlight w:val="none"/>
              </w:rPr>
              <w:t>.航空文化建设重点项目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重点推进</w:t>
            </w:r>
            <w:r>
              <w:rPr>
                <w:rFonts w:hint="eastAsia"/>
                <w:color w:val="auto"/>
                <w:highlight w:val="none"/>
                <w:lang w:val="en-US" w:eastAsia="zh-CN"/>
              </w:rPr>
              <w:t>航博城</w:t>
            </w:r>
            <w:r>
              <w:rPr>
                <w:color w:val="auto"/>
                <w:highlight w:val="none"/>
              </w:rPr>
              <w:t>项目、中国（长春）空天技术论坛、无人驾驶航空发展国际论坛、通用航空发展大会等。</w:t>
            </w:r>
          </w:p>
          <w:p>
            <w:pPr>
              <w:pStyle w:val="22"/>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ascii="Times New Roman" w:hAnsi="Times New Roman"/>
                <w:b w:val="0"/>
                <w:i w:val="0"/>
                <w:color w:val="auto"/>
                <w:highlight w:val="none"/>
                <w:lang w:val="en-US" w:eastAsia="zh-CN"/>
              </w:rPr>
              <w:t>3</w:t>
            </w:r>
            <w:r>
              <w:rPr>
                <w:rFonts w:hint="eastAsia"/>
                <w:b w:val="0"/>
                <w:i w:val="0"/>
                <w:color w:val="auto"/>
                <w:highlight w:val="none"/>
                <w:lang w:val="en-US" w:eastAsia="zh-CN"/>
              </w:rPr>
              <w:t>.</w:t>
            </w:r>
            <w:r>
              <w:rPr>
                <w:rFonts w:hint="eastAsia"/>
                <w:color w:val="auto"/>
                <w:highlight w:val="none"/>
                <w:lang w:val="en-US" w:eastAsia="zh-CN"/>
              </w:rPr>
              <w:t>“永不落幕的航空展”体验升级项目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color w:val="auto"/>
                <w:highlight w:val="none"/>
                <w:lang w:val="en-US" w:eastAsia="zh-CN"/>
              </w:rPr>
              <w:t>实施展陈动态更新，部署AR导览、穹幕影院、模拟飞行认证等互动设施，建立会员社群体系。编制展品轮换计划，完成互动设备招标采购，上线会员小程序，启动首场“机库夜话”沉浸式戏剧。</w:t>
            </w:r>
          </w:p>
          <w:p>
            <w:pPr>
              <w:pStyle w:val="22"/>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ascii="Times New Roman" w:hAnsi="Times New Roman"/>
                <w:b w:val="0"/>
                <w:i w:val="0"/>
                <w:color w:val="auto"/>
                <w:highlight w:val="none"/>
                <w:lang w:val="en-US" w:eastAsia="zh-CN"/>
              </w:rPr>
              <w:t>4</w:t>
            </w:r>
            <w:r>
              <w:rPr>
                <w:rFonts w:hint="eastAsia"/>
                <w:color w:val="auto"/>
                <w:highlight w:val="none"/>
                <w:lang w:val="en-US" w:eastAsia="zh-CN"/>
              </w:rPr>
              <w:t>.青少年航空科创实践基地</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color w:val="auto"/>
                <w:highlight w:val="none"/>
                <w:lang w:val="en-US" w:eastAsia="zh-CN"/>
              </w:rPr>
              <w:t>在航博城内建设创客空间，配备</w:t>
            </w:r>
            <w:r>
              <w:rPr>
                <w:rFonts w:hint="eastAsia" w:ascii="Times New Roman" w:hAnsi="Times New Roman"/>
                <w:b w:val="0"/>
                <w:i w:val="0"/>
                <w:color w:val="auto"/>
                <w:highlight w:val="none"/>
                <w:lang w:val="en-US" w:eastAsia="zh-CN"/>
              </w:rPr>
              <w:t>3</w:t>
            </w:r>
            <w:r>
              <w:rPr>
                <w:rFonts w:hint="eastAsia"/>
                <w:color w:val="auto"/>
                <w:highlight w:val="none"/>
                <w:lang w:val="en-US" w:eastAsia="zh-CN"/>
              </w:rPr>
              <w:t>D打印机、飞行模拟器等，开发阶梯式研学课程，举办年度科技创新大赛。与教育局合作认定研学基地，完成课程开发与师资培训，举办青少年无人机挑战赛。</w:t>
            </w:r>
          </w:p>
          <w:p>
            <w:pPr>
              <w:pStyle w:val="22"/>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ascii="Times New Roman" w:hAnsi="Times New Roman"/>
                <w:b w:val="0"/>
                <w:i w:val="0"/>
                <w:color w:val="auto"/>
                <w:highlight w:val="none"/>
                <w:lang w:val="en-US" w:eastAsia="zh-CN"/>
              </w:rPr>
              <w:t>5</w:t>
            </w:r>
            <w:r>
              <w:rPr>
                <w:rFonts w:hint="eastAsia"/>
                <w:color w:val="auto"/>
                <w:highlight w:val="none"/>
                <w:lang w:val="en-US" w:eastAsia="zh-CN"/>
              </w:rPr>
              <w:t>.航博城智慧交通与接驳系统</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color w:val="auto"/>
                <w:highlight w:val="none"/>
                <w:lang w:val="en-US" w:eastAsia="zh-CN"/>
              </w:rPr>
              <w:t>建设智慧停车场，优化公交专线，设计“停车+接驳”流线，开发一体化出行服务小程序。完成交通流量模拟与方案设计，划定临时停车区，与公交公司签约开设航展专线，小程序上线试运行。</w:t>
            </w:r>
          </w:p>
          <w:p>
            <w:pPr>
              <w:pStyle w:val="22"/>
              <w:keepNext w:val="0"/>
              <w:keepLines w:val="0"/>
              <w:pageBreakBefore w:val="0"/>
              <w:widowControl w:val="0"/>
              <w:wordWrap/>
              <w:overflowPunct/>
              <w:topLinePunct w:val="0"/>
              <w:autoSpaceDE/>
              <w:autoSpaceDN/>
              <w:bidi w:val="0"/>
              <w:spacing w:line="300" w:lineRule="exact"/>
              <w:rPr>
                <w:rFonts w:hint="eastAsia"/>
                <w:color w:val="auto"/>
                <w:highlight w:val="none"/>
                <w:lang w:val="en-US" w:eastAsia="zh-CN"/>
              </w:rPr>
            </w:pPr>
            <w:r>
              <w:rPr>
                <w:rFonts w:hint="eastAsia" w:ascii="Times New Roman" w:hAnsi="Times New Roman"/>
                <w:b w:val="0"/>
                <w:i w:val="0"/>
                <w:color w:val="auto"/>
                <w:highlight w:val="none"/>
                <w:lang w:val="en-US" w:eastAsia="zh-CN"/>
              </w:rPr>
              <w:t>6</w:t>
            </w:r>
            <w:r>
              <w:rPr>
                <w:rFonts w:hint="eastAsia"/>
                <w:color w:val="auto"/>
                <w:highlight w:val="none"/>
                <w:lang w:val="en-US" w:eastAsia="zh-CN"/>
              </w:rPr>
              <w:t>.航空主题商业街区</w:t>
            </w:r>
          </w:p>
          <w:p>
            <w:pPr>
              <w:pStyle w:val="23"/>
              <w:keepNext w:val="0"/>
              <w:keepLines w:val="0"/>
              <w:pageBreakBefore w:val="0"/>
              <w:widowControl w:val="0"/>
              <w:wordWrap/>
              <w:overflowPunct/>
              <w:topLinePunct w:val="0"/>
              <w:autoSpaceDE/>
              <w:autoSpaceDN/>
              <w:bidi w:val="0"/>
              <w:spacing w:line="300" w:lineRule="exact"/>
              <w:rPr>
                <w:rFonts w:hint="eastAsia" w:eastAsia="楷体_GB2312"/>
                <w:color w:val="auto"/>
                <w:highlight w:val="none"/>
                <w:lang w:val="en-US" w:eastAsia="zh-CN"/>
              </w:rPr>
            </w:pPr>
            <w:r>
              <w:rPr>
                <w:rFonts w:hint="eastAsia"/>
                <w:color w:val="auto"/>
                <w:highlight w:val="none"/>
                <w:lang w:val="en-US" w:eastAsia="zh-CN"/>
              </w:rPr>
              <w:t>在航博城核心区规划街区，引入航空模型店、主题餐饮、沉浸式娱乐项目（如模拟飞行舱），举办主题市集。</w:t>
            </w:r>
          </w:p>
        </w:tc>
      </w:tr>
    </w:tbl>
    <w:p>
      <w:pPr>
        <w:pStyle w:val="19"/>
        <w:pageBreakBefore w:val="0"/>
        <w:wordWrap/>
        <w:overflowPunct/>
        <w:autoSpaceDE/>
        <w:autoSpaceDN/>
        <w:bidi w:val="0"/>
        <w:spacing w:line="530" w:lineRule="exact"/>
        <w:ind w:left="0" w:leftChars="0" w:firstLine="0" w:firstLineChars="0"/>
        <w:rPr>
          <w:rFonts w:hint="default"/>
          <w:color w:val="auto"/>
          <w:highlight w:val="none"/>
          <w:lang w:val="en-US" w:eastAsia="zh-CN"/>
        </w:rPr>
      </w:pPr>
    </w:p>
    <w:p>
      <w:pPr>
        <w:pStyle w:val="2"/>
        <w:pageBreakBefore w:val="0"/>
        <w:wordWrap/>
        <w:overflowPunct/>
        <w:autoSpaceDE/>
        <w:autoSpaceDN/>
        <w:bidi w:val="0"/>
        <w:spacing w:line="530" w:lineRule="exact"/>
        <w:rPr>
          <w:rFonts w:hint="eastAsia" w:ascii="楷体" w:hAnsi="楷体" w:eastAsia="楷体" w:cs="楷体"/>
          <w:b w:val="0"/>
          <w:bCs w:val="0"/>
          <w:color w:val="auto"/>
          <w:sz w:val="28"/>
          <w:szCs w:val="28"/>
          <w:highlight w:val="none"/>
        </w:rPr>
        <w:sectPr>
          <w:pgSz w:w="11906" w:h="16838"/>
          <w:pgMar w:top="1440" w:right="1800" w:bottom="1440" w:left="1800" w:header="720" w:footer="720" w:gutter="0"/>
          <w:pgNumType w:fmt="decimal"/>
          <w:cols w:space="425" w:num="1"/>
          <w:docGrid w:type="lines" w:linePitch="312" w:charSpace="0"/>
        </w:sectPr>
      </w:pPr>
      <w:bookmarkStart w:id="219" w:name="_Toc1629394026"/>
      <w:bookmarkStart w:id="220" w:name="_Toc351224582"/>
      <w:bookmarkStart w:id="221" w:name="_Toc1826770685"/>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222" w:name="_Toc155472140"/>
      <w:bookmarkStart w:id="223" w:name="_Toc803250875"/>
      <w:bookmarkStart w:id="224" w:name="_Toc1095953627"/>
      <w:bookmarkStart w:id="225" w:name="_Toc1170460126"/>
      <w:bookmarkStart w:id="226" w:name="_Toc489955247"/>
      <w:r>
        <w:rPr>
          <w:rFonts w:hint="eastAsia" w:ascii="方正小标宋简体" w:hAnsi="方正小标宋简体" w:eastAsia="方正小标宋简体" w:cs="方正小标宋简体"/>
          <w:color w:val="auto"/>
          <w:highlight w:val="none"/>
        </w:rPr>
        <w:t>促进科技创新与产业创新深度融合，加快培育新质生产力</w:t>
      </w:r>
      <w:bookmarkEnd w:id="219"/>
      <w:bookmarkEnd w:id="220"/>
      <w:bookmarkEnd w:id="221"/>
      <w:bookmarkEnd w:id="222"/>
      <w:bookmarkEnd w:id="223"/>
      <w:bookmarkEnd w:id="224"/>
      <w:bookmarkEnd w:id="225"/>
      <w:bookmarkEnd w:id="226"/>
    </w:p>
    <w:p>
      <w:pPr>
        <w:pStyle w:val="19"/>
        <w:pageBreakBefore w:val="0"/>
        <w:wordWrap/>
        <w:overflowPunct/>
        <w:autoSpaceDE/>
        <w:autoSpaceDN/>
        <w:bidi w:val="0"/>
        <w:spacing w:line="530" w:lineRule="exact"/>
        <w:rPr>
          <w:color w:val="auto"/>
          <w:highlight w:val="none"/>
        </w:rPr>
      </w:pPr>
      <w:r>
        <w:rPr>
          <w:color w:val="auto"/>
          <w:highlight w:val="none"/>
        </w:rPr>
        <w:t>深入实施创新驱动发展战略，坚持“创新引领、产业融合、人才支撑、引领未来”的指导方针，坚持新发展理念，因地制宜发展新质生产力，把增强自主创新能力作为全区科技发展的战略基点和调整产业结构、转变经济增长方式的中心环节，强化全产业链协同，大力发展产业向高端化、智能化、绿色化转型，为全区经济社会可持续发展提供强大的科技动力和科技支撑。</w:t>
      </w:r>
    </w:p>
    <w:p>
      <w:pPr>
        <w:pStyle w:val="3"/>
        <w:pageBreakBefore w:val="0"/>
        <w:wordWrap/>
        <w:overflowPunct/>
        <w:autoSpaceDE/>
        <w:autoSpaceDN/>
        <w:bidi w:val="0"/>
        <w:spacing w:line="530" w:lineRule="exact"/>
        <w:rPr>
          <w:color w:val="auto"/>
          <w:highlight w:val="none"/>
        </w:rPr>
      </w:pPr>
      <w:bookmarkStart w:id="227" w:name="_Toc1680142228"/>
      <w:bookmarkStart w:id="228" w:name="_Toc491534456"/>
      <w:bookmarkStart w:id="229" w:name="_Toc1225533731"/>
      <w:bookmarkStart w:id="230" w:name="_Toc513928438"/>
      <w:bookmarkStart w:id="231" w:name="_Toc9177"/>
      <w:bookmarkStart w:id="232" w:name="_Toc205400046"/>
      <w:bookmarkStart w:id="233" w:name="_Toc725368670"/>
      <w:bookmarkStart w:id="234" w:name="_Toc2108685283"/>
      <w:bookmarkStart w:id="235" w:name="_Toc1155251083"/>
      <w:bookmarkStart w:id="236" w:name="_Toc973131162"/>
      <w:bookmarkStart w:id="237" w:name="_Toc1746487718"/>
      <w:r>
        <w:rPr>
          <w:color w:val="auto"/>
          <w:highlight w:val="none"/>
        </w:rPr>
        <w:t>强化创新引领作用</w:t>
      </w:r>
      <w:bookmarkEnd w:id="227"/>
      <w:bookmarkEnd w:id="228"/>
      <w:bookmarkEnd w:id="229"/>
      <w:bookmarkEnd w:id="230"/>
      <w:bookmarkEnd w:id="231"/>
      <w:bookmarkEnd w:id="232"/>
      <w:bookmarkEnd w:id="233"/>
      <w:bookmarkEnd w:id="234"/>
      <w:bookmarkEnd w:id="235"/>
      <w:bookmarkEnd w:id="236"/>
      <w:bookmarkEnd w:id="237"/>
    </w:p>
    <w:p>
      <w:pPr>
        <w:pStyle w:val="4"/>
        <w:pageBreakBefore w:val="0"/>
        <w:wordWrap/>
        <w:overflowPunct/>
        <w:autoSpaceDE/>
        <w:autoSpaceDN/>
        <w:bidi w:val="0"/>
        <w:spacing w:line="530" w:lineRule="exact"/>
        <w:rPr>
          <w:color w:val="auto"/>
          <w:highlight w:val="none"/>
        </w:rPr>
      </w:pPr>
      <w:bookmarkStart w:id="238" w:name="_Toc205400048"/>
      <w:bookmarkStart w:id="239" w:name="_Toc416029232"/>
      <w:bookmarkStart w:id="240" w:name="_Toc750924940"/>
      <w:bookmarkStart w:id="241" w:name="_Toc887951593"/>
      <w:bookmarkStart w:id="242" w:name="_Toc1029758540"/>
      <w:bookmarkStart w:id="243" w:name="_Toc205400047"/>
      <w:r>
        <w:rPr>
          <w:color w:val="auto"/>
          <w:highlight w:val="none"/>
        </w:rPr>
        <w:t>推进科技体制机制创新</w:t>
      </w:r>
      <w:bookmarkEnd w:id="238"/>
      <w:bookmarkEnd w:id="239"/>
      <w:bookmarkEnd w:id="240"/>
      <w:bookmarkEnd w:id="241"/>
      <w:bookmarkEnd w:id="242"/>
    </w:p>
    <w:p>
      <w:pPr>
        <w:pStyle w:val="19"/>
        <w:pageBreakBefore w:val="0"/>
        <w:wordWrap/>
        <w:overflowPunct/>
        <w:autoSpaceDE/>
        <w:autoSpaceDN/>
        <w:bidi w:val="0"/>
        <w:spacing w:line="530" w:lineRule="exact"/>
        <w:rPr>
          <w:rFonts w:hint="default" w:ascii="Times New Roman" w:hAnsi="Times New Roman"/>
          <w:b/>
          <w:bCs/>
          <w:color w:val="auto"/>
          <w:szCs w:val="32"/>
          <w:highlight w:val="none"/>
          <w:lang w:bidi="ar"/>
        </w:rPr>
      </w:pPr>
      <w:r>
        <w:rPr>
          <w:rFonts w:ascii="Times New Roman" w:hAnsi="Times New Roman"/>
          <w:b/>
          <w:bCs/>
          <w:color w:val="auto"/>
          <w:szCs w:val="32"/>
          <w:highlight w:val="none"/>
          <w:lang w:bidi="ar"/>
        </w:rPr>
        <w:t>加强原始创新和关键技术攻关</w:t>
      </w:r>
      <w:r>
        <w:rPr>
          <w:rFonts w:hint="default" w:ascii="Times New Roman" w:hAnsi="Times New Roman"/>
          <w:b/>
          <w:bCs/>
          <w:color w:val="auto"/>
          <w:szCs w:val="32"/>
          <w:highlight w:val="none"/>
          <w:lang w:bidi="ar"/>
        </w:rPr>
        <w:t>。</w:t>
      </w:r>
      <w:r>
        <w:rPr>
          <w:rFonts w:hint="default" w:ascii="Times New Roman" w:hAnsi="Times New Roman"/>
          <w:color w:val="auto"/>
          <w:szCs w:val="32"/>
          <w:highlight w:val="none"/>
          <w:lang w:bidi="ar"/>
        </w:rPr>
        <w:t>推动创新资源向重点产业链</w:t>
      </w:r>
      <w:r>
        <w:rPr>
          <w:rFonts w:ascii="Times New Roman" w:hAnsi="Times New Roman"/>
          <w:color w:val="auto"/>
          <w:szCs w:val="32"/>
          <w:highlight w:val="none"/>
          <w:lang w:bidi="ar"/>
        </w:rPr>
        <w:t>集聚</w:t>
      </w:r>
      <w:r>
        <w:rPr>
          <w:rFonts w:hint="default" w:ascii="Times New Roman" w:hAnsi="Times New Roman"/>
          <w:color w:val="auto"/>
          <w:szCs w:val="32"/>
          <w:highlight w:val="none"/>
          <w:lang w:bidi="ar"/>
        </w:rPr>
        <w:t>，</w:t>
      </w:r>
      <w:r>
        <w:rPr>
          <w:rFonts w:ascii="Times New Roman" w:hAnsi="Times New Roman"/>
          <w:color w:val="auto"/>
          <w:szCs w:val="32"/>
          <w:highlight w:val="none"/>
          <w:lang w:bidi="ar"/>
        </w:rPr>
        <w:t>推动装备制造领域在新能源、数智化、轻量化等领域关键核心技术取得突破</w:t>
      </w:r>
      <w:r>
        <w:rPr>
          <w:rFonts w:hint="default" w:ascii="Times New Roman" w:hAnsi="Times New Roman"/>
          <w:color w:val="auto"/>
          <w:szCs w:val="32"/>
          <w:highlight w:val="none"/>
          <w:lang w:bidi="ar"/>
        </w:rPr>
        <w:t>，支持低空产业加强</w:t>
      </w:r>
      <w:r>
        <w:rPr>
          <w:rFonts w:ascii="Times New Roman" w:hAnsi="Times New Roman"/>
          <w:color w:val="auto"/>
          <w:szCs w:val="32"/>
          <w:highlight w:val="none"/>
          <w:lang w:bidi="ar"/>
        </w:rPr>
        <w:t>新</w:t>
      </w:r>
      <w:r>
        <w:rPr>
          <w:rFonts w:hint="default" w:ascii="Times New Roman" w:hAnsi="Times New Roman"/>
          <w:color w:val="auto"/>
          <w:szCs w:val="32"/>
          <w:highlight w:val="none"/>
          <w:lang w:bidi="ar"/>
        </w:rPr>
        <w:t>产品研发和关键零部件环节创新，培育前沿技术增长点。</w:t>
      </w:r>
      <w:r>
        <w:rPr>
          <w:rFonts w:ascii="Times New Roman" w:hAnsi="Times New Roman"/>
          <w:color w:val="auto"/>
          <w:szCs w:val="32"/>
          <w:highlight w:val="none"/>
          <w:lang w:bidi="ar"/>
        </w:rPr>
        <w:t>围绕农业、新材料、智能装备等领域，加大基础研究投入，加大长期稳定支持。</w:t>
      </w:r>
      <w:r>
        <w:rPr>
          <w:rFonts w:hint="default" w:ascii="Times New Roman" w:hAnsi="Times New Roman"/>
          <w:color w:val="auto"/>
          <w:szCs w:val="32"/>
          <w:highlight w:val="none"/>
          <w:lang w:bidi="ar"/>
        </w:rPr>
        <w:t>聚焦重点领域技术短板，鼓励企业开展自主攻关、产学研联合、揭榜</w:t>
      </w:r>
      <w:r>
        <w:rPr>
          <w:rFonts w:hint="eastAsia"/>
          <w:color w:val="auto"/>
          <w:szCs w:val="32"/>
          <w:highlight w:val="none"/>
          <w:lang w:eastAsia="zh-CN" w:bidi="ar"/>
        </w:rPr>
        <w:t>挂帅</w:t>
      </w:r>
      <w:r>
        <w:rPr>
          <w:rFonts w:hint="default" w:ascii="Times New Roman" w:hAnsi="Times New Roman"/>
          <w:color w:val="auto"/>
          <w:szCs w:val="32"/>
          <w:highlight w:val="none"/>
          <w:lang w:bidi="ar"/>
        </w:rPr>
        <w:t>，突破关键核心技术，争取省市级政策资金支持。</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ascii="Times New Roman" w:hAnsi="Times New Roman"/>
          <w:b/>
          <w:bCs/>
          <w:color w:val="auto"/>
          <w:szCs w:val="32"/>
          <w:highlight w:val="none"/>
          <w:lang w:bidi="ar"/>
        </w:rPr>
        <w:t>加强政策激励支撑</w:t>
      </w:r>
      <w:r>
        <w:rPr>
          <w:rFonts w:hint="default" w:ascii="Times New Roman" w:hAnsi="Times New Roman"/>
          <w:b/>
          <w:bCs/>
          <w:color w:val="auto"/>
          <w:szCs w:val="32"/>
          <w:highlight w:val="none"/>
          <w:lang w:bidi="ar"/>
        </w:rPr>
        <w:t>。</w:t>
      </w:r>
      <w:r>
        <w:rPr>
          <w:rFonts w:hint="default" w:ascii="Times New Roman" w:hAnsi="Times New Roman"/>
          <w:color w:val="auto"/>
          <w:szCs w:val="32"/>
          <w:highlight w:val="none"/>
          <w:lang w:bidi="ar"/>
        </w:rPr>
        <w:t>出台科技创新激励政策，对科技创新企业、人才等给予</w:t>
      </w:r>
      <w:r>
        <w:rPr>
          <w:rFonts w:hint="eastAsia" w:ascii="Times New Roman" w:hAnsi="Times New Roman"/>
          <w:color w:val="auto"/>
          <w:szCs w:val="32"/>
          <w:highlight w:val="none"/>
          <w:lang w:val="en-US" w:eastAsia="zh-CN" w:bidi="ar"/>
        </w:rPr>
        <w:t>相应政策</w:t>
      </w:r>
      <w:r>
        <w:rPr>
          <w:rFonts w:hint="default" w:ascii="Times New Roman" w:hAnsi="Times New Roman"/>
          <w:color w:val="auto"/>
          <w:szCs w:val="32"/>
          <w:highlight w:val="none"/>
          <w:lang w:bidi="ar"/>
        </w:rPr>
        <w:t>支持。</w:t>
      </w:r>
      <w:r>
        <w:rPr>
          <w:rFonts w:ascii="Times New Roman" w:hAnsi="Times New Roman"/>
          <w:color w:val="auto"/>
          <w:szCs w:val="32"/>
          <w:highlight w:val="none"/>
          <w:lang w:bidi="ar"/>
        </w:rPr>
        <w:t>加大科技研发资金支持力度，针对在重点领域关键核心技术取得突破的企业，予以</w:t>
      </w:r>
      <w:r>
        <w:rPr>
          <w:rFonts w:hint="eastAsia" w:ascii="Times New Roman" w:hAnsi="Times New Roman"/>
          <w:color w:val="auto"/>
          <w:szCs w:val="32"/>
          <w:highlight w:val="none"/>
          <w:lang w:val="en-US" w:eastAsia="zh-CN" w:bidi="ar"/>
        </w:rPr>
        <w:t>政策</w:t>
      </w:r>
      <w:r>
        <w:rPr>
          <w:rFonts w:ascii="Times New Roman" w:hAnsi="Times New Roman"/>
          <w:color w:val="auto"/>
          <w:szCs w:val="32"/>
          <w:highlight w:val="none"/>
          <w:lang w:bidi="ar"/>
        </w:rPr>
        <w:t>倾斜。</w:t>
      </w:r>
      <w:r>
        <w:rPr>
          <w:rFonts w:hint="default" w:ascii="Times New Roman" w:hAnsi="Times New Roman"/>
          <w:color w:val="auto"/>
          <w:szCs w:val="32"/>
          <w:highlight w:val="none"/>
          <w:lang w:bidi="ar"/>
        </w:rPr>
        <w:t>设立科技创新引导基金，充分利用</w:t>
      </w:r>
      <w:r>
        <w:rPr>
          <w:rFonts w:ascii="Times New Roman" w:hAnsi="Times New Roman"/>
          <w:color w:val="auto"/>
          <w:szCs w:val="32"/>
          <w:highlight w:val="none"/>
          <w:lang w:bidi="ar"/>
        </w:rPr>
        <w:t>省、市、区现有政府</w:t>
      </w:r>
      <w:r>
        <w:rPr>
          <w:rFonts w:hint="eastAsia" w:ascii="Times New Roman" w:hAnsi="Times New Roman"/>
          <w:color w:val="auto"/>
          <w:szCs w:val="32"/>
          <w:highlight w:val="none"/>
          <w:lang w:val="en-US" w:eastAsia="zh-CN" w:bidi="ar"/>
        </w:rPr>
        <w:t>资金</w:t>
      </w:r>
      <w:r>
        <w:rPr>
          <w:rFonts w:hint="default" w:ascii="Times New Roman" w:hAnsi="Times New Roman"/>
          <w:color w:val="auto"/>
          <w:szCs w:val="32"/>
          <w:highlight w:val="none"/>
          <w:lang w:bidi="ar"/>
        </w:rPr>
        <w:t>，争取针对本区支柱产业的专项政策，联动金融机构开发创新科技金融产品。</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优化创新服务环境。</w:t>
      </w:r>
      <w:r>
        <w:rPr>
          <w:rFonts w:hint="default" w:ascii="Times New Roman" w:hAnsi="Times New Roman"/>
          <w:color w:val="auto"/>
          <w:szCs w:val="32"/>
          <w:highlight w:val="none"/>
          <w:lang w:bidi="ar"/>
        </w:rPr>
        <w:t>大力发展市场化、专业化科技服务机构，壮大技术经纪人（经理人）队伍，打造高技术服务业集聚区。激活院所转化动能，支持高校、科研院所设立专业化技术转移机构，全面落实科技成果转化优惠政策。加快科创服务平台搭建，聚焦</w:t>
      </w:r>
      <w:r>
        <w:rPr>
          <w:rFonts w:hint="eastAsia" w:ascii="Times New Roman" w:hAnsi="Times New Roman"/>
          <w:color w:val="auto"/>
          <w:szCs w:val="32"/>
          <w:highlight w:val="none"/>
          <w:lang w:val="en-US" w:eastAsia="zh-CN" w:bidi="ar"/>
        </w:rPr>
        <w:t>知识产权</w:t>
      </w:r>
      <w:r>
        <w:rPr>
          <w:rFonts w:hint="default" w:ascii="Times New Roman" w:hAnsi="Times New Roman"/>
          <w:color w:val="auto"/>
          <w:szCs w:val="32"/>
          <w:highlight w:val="none"/>
          <w:lang w:bidi="ar"/>
        </w:rPr>
        <w:t>保护、科技成果共享、技术交易等，培育技术市场，</w:t>
      </w:r>
      <w:r>
        <w:rPr>
          <w:rFonts w:ascii="Times New Roman" w:hAnsi="Times New Roman"/>
          <w:color w:val="auto"/>
          <w:szCs w:val="32"/>
          <w:highlight w:val="none"/>
          <w:lang w:bidi="ar"/>
        </w:rPr>
        <w:t>促进</w:t>
      </w:r>
      <w:r>
        <w:rPr>
          <w:rFonts w:hint="default" w:ascii="Times New Roman" w:hAnsi="Times New Roman"/>
          <w:color w:val="auto"/>
          <w:szCs w:val="32"/>
          <w:highlight w:val="none"/>
          <w:lang w:bidi="ar"/>
        </w:rPr>
        <w:t>科技成果域内转化。</w:t>
      </w:r>
    </w:p>
    <w:p>
      <w:pPr>
        <w:pStyle w:val="4"/>
        <w:pageBreakBefore w:val="0"/>
        <w:wordWrap/>
        <w:overflowPunct/>
        <w:autoSpaceDE/>
        <w:autoSpaceDN/>
        <w:bidi w:val="0"/>
        <w:spacing w:line="530" w:lineRule="exact"/>
        <w:rPr>
          <w:color w:val="auto"/>
          <w:highlight w:val="none"/>
        </w:rPr>
      </w:pPr>
      <w:bookmarkStart w:id="244" w:name="_Toc581070607"/>
      <w:bookmarkStart w:id="245" w:name="_Toc2144031239"/>
      <w:bookmarkStart w:id="246" w:name="_Toc938560548"/>
      <w:bookmarkStart w:id="247" w:name="_Toc34073161"/>
      <w:r>
        <w:rPr>
          <w:color w:val="auto"/>
          <w:highlight w:val="none"/>
        </w:rPr>
        <w:t>推动科技创新</w:t>
      </w:r>
      <w:bookmarkEnd w:id="243"/>
      <w:r>
        <w:rPr>
          <w:color w:val="auto"/>
          <w:highlight w:val="none"/>
        </w:rPr>
        <w:t>实体建设</w:t>
      </w:r>
      <w:bookmarkEnd w:id="244"/>
      <w:bookmarkEnd w:id="245"/>
      <w:bookmarkEnd w:id="246"/>
      <w:bookmarkEnd w:id="247"/>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强化新型科创平台建设。</w:t>
      </w:r>
      <w:r>
        <w:rPr>
          <w:rFonts w:ascii="Times New Roman" w:hAnsi="Times New Roman"/>
          <w:color w:val="auto"/>
          <w:szCs w:val="32"/>
          <w:highlight w:val="none"/>
        </w:rPr>
        <w:t>支持搭建“政校企研”协同创新平台。</w:t>
      </w:r>
      <w:r>
        <w:rPr>
          <w:rFonts w:ascii="Times New Roman" w:hAnsi="Times New Roman"/>
          <w:color w:val="auto"/>
          <w:szCs w:val="32"/>
          <w:highlight w:val="none"/>
          <w:lang w:bidi="ar"/>
        </w:rPr>
        <w:t>推动中车长客牵头</w:t>
      </w:r>
      <w:r>
        <w:rPr>
          <w:rFonts w:hint="default" w:ascii="Times New Roman" w:hAnsi="Times New Roman"/>
          <w:color w:val="auto"/>
          <w:szCs w:val="32"/>
          <w:highlight w:val="none"/>
          <w:lang w:bidi="ar"/>
        </w:rPr>
        <w:t>搭建轨道交通装备产业新型研发机构平台，助力技术攻关和供应链优化，形成可复制创新模式。</w:t>
      </w:r>
      <w:r>
        <w:rPr>
          <w:rFonts w:ascii="Times New Roman" w:hAnsi="Times New Roman"/>
          <w:color w:val="auto"/>
          <w:szCs w:val="32"/>
          <w:highlight w:val="none"/>
          <w:lang w:bidi="ar"/>
        </w:rPr>
        <w:t>鼓励肉牛精深加工和农产品精深加工企业与中国农业大学、中国农科院、吉林大学、吉林农业大学等科研院校共建产业创新联盟，聚焦良种选育、精深加工等关键技术开展联合攻关。</w:t>
      </w:r>
      <w:r>
        <w:rPr>
          <w:rFonts w:hint="default" w:ascii="Times New Roman" w:hAnsi="Times New Roman"/>
          <w:color w:val="auto"/>
          <w:szCs w:val="32"/>
          <w:highlight w:val="none"/>
          <w:lang w:bidi="ar"/>
        </w:rPr>
        <w:t>推动特色科技园区建设，重点提升关键行业科研资源利用效率，缩短技术转化周期，促进专业人才集聚。</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加强创新主体培育。</w:t>
      </w:r>
      <w:r>
        <w:rPr>
          <w:rFonts w:hint="default" w:ascii="Times New Roman" w:hAnsi="Times New Roman"/>
          <w:color w:val="auto"/>
          <w:szCs w:val="32"/>
          <w:highlight w:val="none"/>
          <w:lang w:bidi="ar"/>
        </w:rPr>
        <w:t>培育科技型中小企业，强化培育服务，完善科技企业孵化器和众创空间建设，实施差异化扶持。深挖高新技术企业，建立瞪羚</w:t>
      </w:r>
      <w:r>
        <w:rPr>
          <w:rFonts w:hint="eastAsia" w:ascii="Times New Roman" w:hAnsi="Times New Roman"/>
          <w:color w:val="auto"/>
          <w:szCs w:val="32"/>
          <w:highlight w:val="none"/>
          <w:lang w:eastAsia="zh-CN" w:bidi="ar"/>
        </w:rPr>
        <w:t>、</w:t>
      </w:r>
      <w:r>
        <w:rPr>
          <w:rFonts w:hint="default" w:ascii="Times New Roman" w:hAnsi="Times New Roman"/>
          <w:color w:val="auto"/>
          <w:szCs w:val="32"/>
          <w:highlight w:val="none"/>
          <w:lang w:bidi="ar"/>
        </w:rPr>
        <w:t>独角兽企业种子库，构建遴选、入库、培育、认定</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四个一批</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工作机制，为高成长企业提供全覆盖、全链条的孵化培育服务。打造</w:t>
      </w:r>
      <w:r>
        <w:rPr>
          <w:rFonts w:hint="eastAsia"/>
          <w:color w:val="auto"/>
          <w:szCs w:val="32"/>
          <w:highlight w:val="none"/>
          <w:lang w:eastAsia="zh-CN" w:bidi="ar"/>
        </w:rPr>
        <w:t>科技领军企业</w:t>
      </w:r>
      <w:r>
        <w:rPr>
          <w:rFonts w:hint="default" w:ascii="Times New Roman" w:hAnsi="Times New Roman"/>
          <w:color w:val="auto"/>
          <w:szCs w:val="32"/>
          <w:highlight w:val="none"/>
          <w:lang w:bidi="ar"/>
        </w:rPr>
        <w:t>，鼓励</w:t>
      </w:r>
      <w:r>
        <w:rPr>
          <w:rFonts w:ascii="Times New Roman" w:hAnsi="Times New Roman"/>
          <w:color w:val="auto"/>
          <w:szCs w:val="32"/>
          <w:highlight w:val="none"/>
          <w:lang w:bidi="ar"/>
        </w:rPr>
        <w:t>中车长客、施耐利机器人、中研高分子等企业牵头开展产业前沿引领技术和关键共性技术研发与应用，攻克“卡脖子”关键核心技术</w:t>
      </w:r>
      <w:r>
        <w:rPr>
          <w:rFonts w:hint="default" w:ascii="Times New Roman" w:hAnsi="Times New Roman"/>
          <w:color w:val="auto"/>
          <w:szCs w:val="32"/>
          <w:highlight w:val="none"/>
          <w:lang w:bidi="ar"/>
        </w:rPr>
        <w:t>。</w:t>
      </w:r>
    </w:p>
    <w:p>
      <w:pPr>
        <w:pStyle w:val="4"/>
        <w:pageBreakBefore w:val="0"/>
        <w:wordWrap/>
        <w:overflowPunct/>
        <w:autoSpaceDE/>
        <w:autoSpaceDN/>
        <w:bidi w:val="0"/>
        <w:spacing w:line="530" w:lineRule="exact"/>
        <w:rPr>
          <w:color w:val="auto"/>
          <w:highlight w:val="none"/>
        </w:rPr>
      </w:pPr>
      <w:bookmarkStart w:id="248" w:name="_Toc1119743021"/>
      <w:bookmarkStart w:id="249" w:name="_Toc1436966825"/>
      <w:bookmarkStart w:id="250" w:name="_Toc2104920860"/>
      <w:bookmarkStart w:id="251" w:name="_Toc205400049"/>
      <w:bookmarkStart w:id="252" w:name="_Toc1445548940"/>
      <w:r>
        <w:rPr>
          <w:color w:val="auto"/>
          <w:highlight w:val="none"/>
        </w:rPr>
        <w:t>深化科技创新人才梯队建设</w:t>
      </w:r>
      <w:bookmarkEnd w:id="248"/>
      <w:bookmarkEnd w:id="249"/>
      <w:bookmarkEnd w:id="250"/>
      <w:bookmarkEnd w:id="251"/>
      <w:bookmarkEnd w:id="252"/>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培育本地化创新人才。</w:t>
      </w:r>
      <w:r>
        <w:rPr>
          <w:rFonts w:hint="default" w:ascii="Times New Roman" w:hAnsi="Times New Roman"/>
          <w:color w:val="auto"/>
          <w:szCs w:val="32"/>
          <w:highlight w:val="none"/>
          <w:lang w:bidi="ar"/>
        </w:rPr>
        <w:t>深入实施人才强区战略，加快构建素质优良、结构合理的创新型人才队伍，聚焦人才培养、引进、服务保障三个方面，塑造优质人才发展环境。重点培育青年科技人才，支持其探索性研究与创新创业。依托</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高校</w:t>
      </w:r>
      <w:r>
        <w:rPr>
          <w:rFonts w:hint="eastAsia" w:ascii="Times New Roman" w:hAnsi="Times New Roman"/>
          <w:color w:val="auto"/>
          <w:szCs w:val="32"/>
          <w:highlight w:val="none"/>
          <w:lang w:eastAsia="zh-CN" w:bidi="ar"/>
        </w:rPr>
        <w:t>―</w:t>
      </w:r>
      <w:r>
        <w:rPr>
          <w:rFonts w:hint="default" w:ascii="Times New Roman" w:hAnsi="Times New Roman"/>
          <w:color w:val="auto"/>
          <w:szCs w:val="32"/>
          <w:highlight w:val="none"/>
          <w:lang w:bidi="ar"/>
        </w:rPr>
        <w:t>企业</w:t>
      </w:r>
      <w:r>
        <w:rPr>
          <w:rFonts w:hint="eastAsia" w:ascii="Times New Roman" w:hAnsi="Times New Roman"/>
          <w:color w:val="auto"/>
          <w:szCs w:val="32"/>
          <w:highlight w:val="none"/>
          <w:lang w:eastAsia="zh-CN" w:bidi="ar"/>
        </w:rPr>
        <w:t>―</w:t>
      </w:r>
      <w:r>
        <w:rPr>
          <w:rFonts w:hint="default" w:ascii="Times New Roman" w:hAnsi="Times New Roman"/>
          <w:color w:val="auto"/>
          <w:szCs w:val="32"/>
          <w:highlight w:val="none"/>
          <w:lang w:bidi="ar"/>
        </w:rPr>
        <w:t>科研院所</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合作平台，定向培养行业顶尖及产业人才</w:t>
      </w:r>
      <w:r>
        <w:rPr>
          <w:rFonts w:ascii="Times New Roman" w:hAnsi="Times New Roman"/>
          <w:color w:val="auto"/>
          <w:szCs w:val="32"/>
          <w:highlight w:val="none"/>
          <w:lang w:bidi="ar"/>
        </w:rPr>
        <w:t>。</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引进高层次创新人才。</w:t>
      </w:r>
      <w:r>
        <w:rPr>
          <w:rFonts w:hint="default" w:ascii="Times New Roman" w:hAnsi="Times New Roman"/>
          <w:color w:val="auto"/>
          <w:szCs w:val="32"/>
          <w:highlight w:val="none"/>
          <w:lang w:bidi="ar"/>
        </w:rPr>
        <w:t>打造与区域发展战略和高质量发展要求相匹配的人力资源协同体系，积极参与</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长春英才</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计划，引进战略科学家、</w:t>
      </w:r>
      <w:r>
        <w:rPr>
          <w:color w:val="auto"/>
          <w:szCs w:val="32"/>
          <w:highlight w:val="none"/>
        </w:rPr>
        <w:t>产业领军人才及团队</w:t>
      </w:r>
      <w:r>
        <w:rPr>
          <w:rFonts w:hint="default" w:ascii="Times New Roman" w:hAnsi="Times New Roman"/>
          <w:color w:val="auto"/>
          <w:szCs w:val="32"/>
          <w:highlight w:val="none"/>
          <w:lang w:bidi="ar"/>
        </w:rPr>
        <w:t>。针对装备制造、新材料、低空经济等重点产业需求，引进掌握核心技术的产业领军人才。</w:t>
      </w:r>
    </w:p>
    <w:p>
      <w:pPr>
        <w:pStyle w:val="19"/>
        <w:pageBreakBefore w:val="0"/>
        <w:wordWrap/>
        <w:overflowPunct/>
        <w:autoSpaceDE/>
        <w:autoSpaceDN/>
        <w:bidi w:val="0"/>
        <w:spacing w:line="530" w:lineRule="exact"/>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创新人才服务环境。</w:t>
      </w:r>
      <w:r>
        <w:rPr>
          <w:rFonts w:hint="default" w:ascii="Times New Roman" w:hAnsi="Times New Roman"/>
          <w:color w:val="auto"/>
          <w:szCs w:val="32"/>
          <w:highlight w:val="none"/>
          <w:lang w:bidi="ar"/>
        </w:rPr>
        <w:t>开辟高层次人才服务</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绿色通道</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，构建</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一站式</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服务模式。落实吉林省五类人才政策，为符合条件</w:t>
      </w:r>
      <w:r>
        <w:rPr>
          <w:rFonts w:hint="eastAsia" w:ascii="Times New Roman" w:hAnsi="Times New Roman"/>
          <w:color w:val="auto"/>
          <w:szCs w:val="32"/>
          <w:highlight w:val="none"/>
          <w:lang w:val="en-US" w:eastAsia="zh-CN" w:bidi="ar"/>
        </w:rPr>
        <w:t>的</w:t>
      </w:r>
      <w:r>
        <w:rPr>
          <w:rFonts w:hint="default" w:ascii="Times New Roman" w:hAnsi="Times New Roman"/>
          <w:color w:val="auto"/>
          <w:szCs w:val="32"/>
          <w:highlight w:val="none"/>
          <w:lang w:bidi="ar"/>
        </w:rPr>
        <w:t>人才</w:t>
      </w:r>
      <w:r>
        <w:rPr>
          <w:rFonts w:ascii="Times New Roman" w:hAnsi="Times New Roman"/>
          <w:color w:val="auto"/>
          <w:szCs w:val="32"/>
          <w:highlight w:val="none"/>
          <w:lang w:bidi="ar"/>
        </w:rPr>
        <w:t>构建</w:t>
      </w:r>
      <w:r>
        <w:rPr>
          <w:rFonts w:hint="default" w:ascii="Times New Roman" w:hAnsi="Times New Roman"/>
          <w:color w:val="auto"/>
          <w:szCs w:val="32"/>
          <w:highlight w:val="none"/>
          <w:lang w:bidi="ar"/>
        </w:rPr>
        <w:t>全方位服务保障体系。</w:t>
      </w:r>
    </w:p>
    <w:p>
      <w:pPr>
        <w:pStyle w:val="4"/>
        <w:pageBreakBefore w:val="0"/>
        <w:wordWrap/>
        <w:overflowPunct/>
        <w:autoSpaceDE/>
        <w:autoSpaceDN/>
        <w:bidi w:val="0"/>
        <w:spacing w:line="530" w:lineRule="exact"/>
        <w:rPr>
          <w:color w:val="auto"/>
          <w:highlight w:val="none"/>
        </w:rPr>
      </w:pPr>
      <w:r>
        <w:rPr>
          <w:rFonts w:hint="eastAsia"/>
          <w:color w:val="auto"/>
          <w:highlight w:val="none"/>
          <w:lang w:val="en-US" w:eastAsia="zh-CN"/>
        </w:rPr>
        <w:t>提升数字经济创新赋能水平</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eastAsia" w:ascii="Times New Roman" w:hAnsi="Times New Roman"/>
          <w:b/>
          <w:bCs/>
          <w:color w:val="auto"/>
          <w:szCs w:val="32"/>
          <w:highlight w:val="none"/>
          <w:lang w:val="en-US" w:eastAsia="zh-CN" w:bidi="ar"/>
        </w:rPr>
        <w:t>夯实算力底座</w:t>
      </w:r>
      <w:r>
        <w:rPr>
          <w:rFonts w:hint="default" w:ascii="Times New Roman" w:hAnsi="Times New Roman"/>
          <w:b/>
          <w:bCs/>
          <w:color w:val="auto"/>
          <w:szCs w:val="32"/>
          <w:highlight w:val="none"/>
          <w:lang w:bidi="ar"/>
        </w:rPr>
        <w:t>。</w:t>
      </w:r>
      <w:r>
        <w:rPr>
          <w:rFonts w:hint="default" w:ascii="Times New Roman" w:hAnsi="Times New Roman"/>
          <w:b w:val="0"/>
          <w:bCs w:val="0"/>
          <w:color w:val="auto"/>
          <w:szCs w:val="32"/>
          <w:highlight w:val="none"/>
          <w:lang w:bidi="ar"/>
        </w:rPr>
        <w:t>提升</w:t>
      </w:r>
      <w:r>
        <w:rPr>
          <w:rFonts w:hint="default" w:ascii="Times New Roman" w:hAnsi="Times New Roman"/>
          <w:color w:val="auto"/>
          <w:szCs w:val="32"/>
          <w:highlight w:val="none"/>
          <w:lang w:bidi="ar"/>
        </w:rPr>
        <w:t>数字基础设施支撑能力</w:t>
      </w:r>
      <w:r>
        <w:rPr>
          <w:rFonts w:hint="default" w:ascii="Times New Roman" w:hAnsi="Times New Roman"/>
          <w:b w:val="0"/>
          <w:bCs w:val="0"/>
          <w:color w:val="auto"/>
          <w:szCs w:val="32"/>
          <w:highlight w:val="none"/>
          <w:lang w:eastAsia="zh-CN" w:bidi="ar"/>
        </w:rPr>
        <w:t>，</w:t>
      </w:r>
      <w:r>
        <w:rPr>
          <w:rFonts w:hint="eastAsia" w:ascii="Times New Roman" w:hAnsi="Times New Roman"/>
          <w:b w:val="0"/>
          <w:bCs w:val="0"/>
          <w:color w:val="auto"/>
          <w:szCs w:val="32"/>
          <w:highlight w:val="none"/>
          <w:lang w:val="en-US" w:eastAsia="zh-CN" w:bidi="ar"/>
        </w:rPr>
        <w:t>支持</w:t>
      </w:r>
      <w:r>
        <w:rPr>
          <w:rFonts w:hint="default" w:ascii="Times New Roman" w:hAnsi="Times New Roman"/>
          <w:color w:val="auto"/>
          <w:szCs w:val="32"/>
          <w:highlight w:val="none"/>
          <w:lang w:bidi="ar"/>
        </w:rPr>
        <w:t>建设</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双千兆</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网络、数字安全、工业互联网、电子政务外网等数字化基础设施</w:t>
      </w:r>
      <w:r>
        <w:rPr>
          <w:rFonts w:hint="default" w:ascii="Times New Roman" w:hAnsi="Times New Roman"/>
          <w:b w:val="0"/>
          <w:bCs w:val="0"/>
          <w:color w:val="auto"/>
          <w:szCs w:val="32"/>
          <w:highlight w:val="none"/>
          <w:lang w:eastAsia="zh-CN" w:bidi="ar"/>
        </w:rPr>
        <w:t>，</w:t>
      </w:r>
      <w:r>
        <w:rPr>
          <w:rFonts w:hint="default" w:ascii="Times New Roman" w:hAnsi="Times New Roman"/>
          <w:color w:val="auto"/>
          <w:szCs w:val="32"/>
          <w:highlight w:val="none"/>
          <w:lang w:bidi="ar"/>
        </w:rPr>
        <w:t>打造支撑数字技术在各领域全面渗透、数字经济与实体经济全面融合的、功能完备的数字基础设施体系。推动玖壹数据、桦瑞科技等数字经济企业集聚发展，构建结构合理、功能完备、技术先进的算力基础设施</w:t>
      </w:r>
      <w:r>
        <w:rPr>
          <w:rFonts w:hint="eastAsia" w:ascii="Times New Roman" w:hAnsi="Times New Roman"/>
          <w:color w:val="auto"/>
          <w:szCs w:val="32"/>
          <w:highlight w:val="none"/>
          <w:lang w:val="en-US" w:eastAsia="zh-CN" w:bidi="ar"/>
        </w:rPr>
        <w:t>网络</w:t>
      </w:r>
      <w:r>
        <w:rPr>
          <w:rFonts w:hint="default" w:ascii="Times New Roman" w:hAnsi="Times New Roman"/>
          <w:color w:val="auto"/>
          <w:szCs w:val="32"/>
          <w:highlight w:val="none"/>
          <w:lang w:bidi="ar"/>
        </w:rPr>
        <w:t>。结合超长期国债、专项债支持政策，加速算力基础设施项目储备建设，筑牢数字经济发展硬件根基，为产业数字化转型提供高效算力服务。</w:t>
      </w:r>
    </w:p>
    <w:p>
      <w:pPr>
        <w:pStyle w:val="19"/>
        <w:pageBreakBefore w:val="0"/>
        <w:wordWrap/>
        <w:overflowPunct/>
        <w:autoSpaceDE/>
        <w:autoSpaceDN/>
        <w:bidi w:val="0"/>
        <w:spacing w:line="530" w:lineRule="exact"/>
        <w:rPr>
          <w:rFonts w:hint="eastAsia" w:ascii="Times New Roman" w:hAnsi="Times New Roman" w:eastAsia="仿宋_GB2312"/>
          <w:color w:val="auto"/>
          <w:szCs w:val="32"/>
          <w:highlight w:val="none"/>
          <w:lang w:eastAsia="zh-CN" w:bidi="ar"/>
        </w:rPr>
      </w:pPr>
      <w:r>
        <w:rPr>
          <w:rFonts w:hint="eastAsia" w:ascii="Times New Roman" w:hAnsi="Times New Roman"/>
          <w:b/>
          <w:bCs/>
          <w:color w:val="auto"/>
          <w:szCs w:val="32"/>
          <w:highlight w:val="none"/>
          <w:lang w:val="en-US" w:eastAsia="zh-CN" w:bidi="ar"/>
        </w:rPr>
        <w:t>以数字经济发展新质生产力。</w:t>
      </w:r>
      <w:r>
        <w:rPr>
          <w:rFonts w:hint="eastAsia" w:ascii="Times New Roman" w:hAnsi="Times New Roman"/>
          <w:b w:val="0"/>
          <w:bCs w:val="0"/>
          <w:color w:val="auto"/>
          <w:szCs w:val="32"/>
          <w:highlight w:val="none"/>
          <w:lang w:val="en-US" w:eastAsia="zh-CN" w:bidi="ar"/>
        </w:rPr>
        <w:t>深化“</w:t>
      </w:r>
      <w:r>
        <w:rPr>
          <w:rFonts w:hint="eastAsia" w:ascii="Times New Roman" w:hAnsi="Times New Roman"/>
          <w:color w:val="auto"/>
          <w:szCs w:val="32"/>
          <w:highlight w:val="none"/>
          <w:lang w:bidi="ar"/>
        </w:rPr>
        <w:t>数字+产业</w:t>
      </w:r>
      <w:r>
        <w:rPr>
          <w:rFonts w:hint="eastAsia" w:ascii="Times New Roman" w:hAnsi="Times New Roman"/>
          <w:b w:val="0"/>
          <w:bCs w:val="0"/>
          <w:color w:val="auto"/>
          <w:szCs w:val="32"/>
          <w:highlight w:val="none"/>
          <w:lang w:val="en-US" w:eastAsia="zh-CN" w:bidi="ar"/>
        </w:rPr>
        <w:t>”融合</w:t>
      </w:r>
      <w:r>
        <w:rPr>
          <w:rFonts w:hint="eastAsia" w:ascii="Times New Roman" w:hAnsi="Times New Roman"/>
          <w:color w:val="auto"/>
          <w:szCs w:val="32"/>
          <w:highlight w:val="none"/>
          <w:lang w:bidi="ar"/>
        </w:rPr>
        <w:t>，引导企业加快智改数转，助力中车长客等龙头企业向智能升级，推动肉牛数字冷链等特色项目落地。</w:t>
      </w:r>
      <w:r>
        <w:rPr>
          <w:rFonts w:hint="eastAsia" w:ascii="Times New Roman" w:hAnsi="Times New Roman"/>
          <w:b w:val="0"/>
          <w:bCs w:val="0"/>
          <w:color w:val="auto"/>
          <w:szCs w:val="32"/>
          <w:highlight w:val="none"/>
          <w:lang w:bidi="ar"/>
        </w:rPr>
        <w:t>聚焦软件产业提质与数字产业集聚</w:t>
      </w:r>
      <w:r>
        <w:rPr>
          <w:rFonts w:hint="eastAsia" w:ascii="Times New Roman" w:hAnsi="Times New Roman"/>
          <w:b w:val="0"/>
          <w:bCs w:val="0"/>
          <w:color w:val="auto"/>
          <w:szCs w:val="32"/>
          <w:highlight w:val="none"/>
          <w:lang w:eastAsia="zh-CN" w:bidi="ar"/>
        </w:rPr>
        <w:t>。</w:t>
      </w:r>
      <w:r>
        <w:rPr>
          <w:rFonts w:hint="eastAsia" w:ascii="Times New Roman" w:hAnsi="Times New Roman"/>
          <w:color w:val="auto"/>
          <w:szCs w:val="32"/>
          <w:highlight w:val="none"/>
          <w:lang w:bidi="ar"/>
        </w:rPr>
        <w:t>拓展</w:t>
      </w:r>
      <w:r>
        <w:rPr>
          <w:rFonts w:hint="eastAsia" w:ascii="Times New Roman" w:hAnsi="Times New Roman"/>
          <w:color w:val="auto"/>
          <w:szCs w:val="32"/>
          <w:highlight w:val="none"/>
          <w:lang w:eastAsia="zh-CN" w:bidi="ar"/>
        </w:rPr>
        <w:t>“</w:t>
      </w:r>
      <w:r>
        <w:rPr>
          <w:rFonts w:hint="eastAsia" w:ascii="Times New Roman" w:hAnsi="Times New Roman"/>
          <w:color w:val="auto"/>
          <w:szCs w:val="32"/>
          <w:highlight w:val="none"/>
          <w:lang w:bidi="ar"/>
        </w:rPr>
        <w:t>数字+公服</w:t>
      </w:r>
      <w:r>
        <w:rPr>
          <w:rFonts w:hint="eastAsia" w:ascii="Times New Roman" w:hAnsi="Times New Roman"/>
          <w:color w:val="auto"/>
          <w:szCs w:val="32"/>
          <w:highlight w:val="none"/>
          <w:lang w:eastAsia="zh-CN" w:bidi="ar"/>
        </w:rPr>
        <w:t>”</w:t>
      </w:r>
      <w:r>
        <w:rPr>
          <w:rFonts w:hint="eastAsia" w:ascii="Times New Roman" w:hAnsi="Times New Roman"/>
          <w:color w:val="auto"/>
          <w:szCs w:val="32"/>
          <w:highlight w:val="none"/>
          <w:lang w:bidi="ar"/>
        </w:rPr>
        <w:t>应用，依托电子政务外网平台优化服务，通过产研学训融合举措，激活数字发展潜能，提升服务高效化水平。</w:t>
      </w:r>
      <w:r>
        <w:rPr>
          <w:rFonts w:hint="eastAsia" w:ascii="Times New Roman" w:hAnsi="Times New Roman"/>
          <w:color w:val="auto"/>
          <w:szCs w:val="32"/>
          <w:highlight w:val="none"/>
          <w:lang w:val="en-US" w:eastAsia="zh-CN" w:bidi="ar"/>
        </w:rPr>
        <w:t>同时</w:t>
      </w:r>
      <w:r>
        <w:rPr>
          <w:rFonts w:hint="eastAsia" w:ascii="Times New Roman" w:hAnsi="Times New Roman"/>
          <w:b w:val="0"/>
          <w:bCs w:val="0"/>
          <w:color w:val="auto"/>
          <w:szCs w:val="32"/>
          <w:highlight w:val="none"/>
          <w:lang w:bidi="ar"/>
        </w:rPr>
        <w:t>大力发展云计算、大数据、人工智能环境下的新型应用软件产业，营造良好生态，围绕信息安全等特色领域打造知名园区，培育工业互联网平台，推动产业数字化转型</w:t>
      </w:r>
      <w:r>
        <w:rPr>
          <w:rFonts w:hint="eastAsia" w:ascii="Times New Roman" w:hAnsi="Times New Roman"/>
          <w:b w:val="0"/>
          <w:bCs w:val="0"/>
          <w:color w:val="auto"/>
          <w:szCs w:val="32"/>
          <w:highlight w:val="none"/>
          <w:lang w:eastAsia="zh-CN" w:bidi="ar"/>
        </w:rPr>
        <w:t>。</w:t>
      </w:r>
    </w:p>
    <w:p>
      <w:pPr>
        <w:pStyle w:val="3"/>
        <w:pageBreakBefore w:val="0"/>
        <w:wordWrap/>
        <w:overflowPunct/>
        <w:autoSpaceDE/>
        <w:autoSpaceDN/>
        <w:bidi w:val="0"/>
        <w:spacing w:line="530" w:lineRule="exact"/>
        <w:rPr>
          <w:color w:val="auto"/>
          <w:highlight w:val="none"/>
        </w:rPr>
      </w:pPr>
      <w:bookmarkStart w:id="253" w:name="_Toc500333613"/>
      <w:bookmarkStart w:id="254" w:name="_Toc1906776989"/>
      <w:bookmarkStart w:id="255" w:name="_Toc1412589230"/>
      <w:bookmarkStart w:id="256" w:name="_Toc6572671"/>
      <w:bookmarkStart w:id="257" w:name="_Toc179984182"/>
      <w:bookmarkStart w:id="258" w:name="_Toc1121755286"/>
      <w:bookmarkStart w:id="259" w:name="_Toc858536069"/>
      <w:bookmarkStart w:id="260" w:name="_Toc905299454"/>
      <w:r>
        <w:rPr>
          <w:rFonts w:hint="eastAsia"/>
          <w:color w:val="auto"/>
          <w:highlight w:val="none"/>
        </w:rPr>
        <w:t>筑牢筑强四</w:t>
      </w:r>
      <w:r>
        <w:rPr>
          <w:rFonts w:hint="eastAsia"/>
          <w:color w:val="auto"/>
          <w:highlight w:val="none"/>
          <w:lang w:val="en-US" w:eastAsia="zh-CN"/>
        </w:rPr>
        <w:t>大</w:t>
      </w:r>
      <w:r>
        <w:rPr>
          <w:rFonts w:hint="eastAsia"/>
          <w:color w:val="auto"/>
          <w:highlight w:val="none"/>
        </w:rPr>
        <w:t>核心产业</w:t>
      </w:r>
      <w:bookmarkEnd w:id="253"/>
      <w:bookmarkEnd w:id="254"/>
      <w:bookmarkEnd w:id="255"/>
      <w:r>
        <w:rPr>
          <w:rFonts w:hint="eastAsia"/>
          <w:color w:val="auto"/>
          <w:highlight w:val="none"/>
          <w:lang w:val="en-US" w:eastAsia="zh-CN"/>
        </w:rPr>
        <w:t>链</w:t>
      </w:r>
      <w:bookmarkEnd w:id="256"/>
      <w:bookmarkEnd w:id="257"/>
      <w:bookmarkEnd w:id="258"/>
      <w:bookmarkEnd w:id="259"/>
      <w:bookmarkEnd w:id="260"/>
    </w:p>
    <w:p>
      <w:pPr>
        <w:pStyle w:val="4"/>
        <w:pageBreakBefore w:val="0"/>
        <w:wordWrap/>
        <w:overflowPunct/>
        <w:autoSpaceDE/>
        <w:autoSpaceDN/>
        <w:bidi w:val="0"/>
        <w:spacing w:line="530" w:lineRule="exact"/>
        <w:rPr>
          <w:color w:val="auto"/>
          <w:highlight w:val="none"/>
        </w:rPr>
      </w:pPr>
      <w:bookmarkStart w:id="261" w:name="_Toc1708555686"/>
      <w:bookmarkStart w:id="262" w:name="_Toc582154789"/>
      <w:bookmarkStart w:id="263" w:name="_Toc302389942"/>
      <w:bookmarkStart w:id="264" w:name="_Toc473087490"/>
      <w:r>
        <w:rPr>
          <w:rFonts w:hint="eastAsia"/>
          <w:color w:val="auto"/>
          <w:highlight w:val="none"/>
        </w:rPr>
        <w:t>升级农畜产品现代化产业</w:t>
      </w:r>
      <w:bookmarkEnd w:id="261"/>
      <w:bookmarkEnd w:id="262"/>
      <w:bookmarkEnd w:id="263"/>
      <w:r>
        <w:rPr>
          <w:rFonts w:hint="eastAsia"/>
          <w:color w:val="auto"/>
          <w:highlight w:val="none"/>
          <w:lang w:val="en-US" w:eastAsia="zh-CN"/>
        </w:rPr>
        <w:t>链</w:t>
      </w:r>
      <w:bookmarkEnd w:id="264"/>
    </w:p>
    <w:p>
      <w:pPr>
        <w:pStyle w:val="19"/>
        <w:pageBreakBefore w:val="0"/>
        <w:wordWrap/>
        <w:overflowPunct/>
        <w:autoSpaceDE/>
        <w:autoSpaceDN/>
        <w:bidi w:val="0"/>
        <w:spacing w:line="530" w:lineRule="exact"/>
        <w:rPr>
          <w:rFonts w:hint="default" w:ascii="Times New Roman" w:hAnsi="Times New Roman"/>
          <w:color w:val="auto"/>
          <w:szCs w:val="32"/>
          <w:highlight w:val="none"/>
          <w:lang w:bidi="ar"/>
        </w:rPr>
      </w:pPr>
      <w:r>
        <w:rPr>
          <w:rFonts w:hint="eastAsia" w:ascii="Times New Roman" w:hAnsi="Times New Roman"/>
          <w:b/>
          <w:bCs/>
          <w:color w:val="auto"/>
          <w:szCs w:val="32"/>
          <w:highlight w:val="none"/>
          <w:lang w:bidi="ar"/>
        </w:rPr>
        <w:t>引领肉牛精深加工业延链拓链</w:t>
      </w:r>
      <w:r>
        <w:rPr>
          <w:rFonts w:ascii="Times New Roman" w:hAnsi="Times New Roman"/>
          <w:b/>
          <w:bCs/>
          <w:color w:val="auto"/>
          <w:szCs w:val="32"/>
          <w:highlight w:val="none"/>
          <w:lang w:bidi="ar"/>
        </w:rPr>
        <w:t>。</w:t>
      </w:r>
      <w:r>
        <w:rPr>
          <w:rFonts w:ascii="仿宋_GB2312" w:hAnsi="仿宋_GB2312"/>
          <w:b w:val="0"/>
          <w:bCs w:val="0"/>
          <w:color w:val="auto"/>
          <w:szCs w:val="40"/>
          <w:highlight w:val="none"/>
          <w:lang w:bidi="ar"/>
        </w:rPr>
        <w:t>实施“皓月领航”产业升级攻坚行动，推动肉牛精深加工向价值链高端跃升。支持企业实施“智改数转”，用工业化、智能化、数字化、云计算、AI算法等前沿理念和新质生产力，提升肉牛加工产线数智化水平。推进“辅链协同”产业生态优化，以肉牛主导产业为核心，推进良种繁育、饲料加工、屠宰分割、冷链物流的全产业链体系，</w:t>
      </w:r>
      <w:r>
        <w:rPr>
          <w:color w:val="auto"/>
          <w:szCs w:val="32"/>
          <w:highlight w:val="none"/>
        </w:rPr>
        <w:t>推进与医药大健康、健康食品、现代服务三大辅链协同发展</w:t>
      </w:r>
      <w:r>
        <w:rPr>
          <w:color w:val="auto"/>
          <w:highlight w:val="none"/>
          <w:lang w:bidi="ar"/>
        </w:rPr>
        <w:t>，</w:t>
      </w:r>
      <w:r>
        <w:rPr>
          <w:rFonts w:ascii="仿宋_GB2312" w:hAnsi="仿宋_GB2312"/>
          <w:b w:val="0"/>
          <w:bCs w:val="0"/>
          <w:color w:val="auto"/>
          <w:szCs w:val="40"/>
          <w:highlight w:val="none"/>
          <w:lang w:bidi="ar"/>
        </w:rPr>
        <w:t>建成肉牛全产业链标杆。</w:t>
      </w:r>
    </w:p>
    <w:p>
      <w:pPr>
        <w:pStyle w:val="19"/>
        <w:pageBreakBefore w:val="0"/>
        <w:wordWrap/>
        <w:overflowPunct/>
        <w:autoSpaceDE/>
        <w:autoSpaceDN/>
        <w:bidi w:val="0"/>
        <w:spacing w:line="530" w:lineRule="exact"/>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引领农产品精深加工业高质量发展。</w:t>
      </w:r>
      <w:r>
        <w:rPr>
          <w:rFonts w:hint="default" w:ascii="Times New Roman" w:hAnsi="Times New Roman"/>
          <w:color w:val="auto"/>
          <w:szCs w:val="32"/>
          <w:highlight w:val="none"/>
          <w:lang w:bidi="ar"/>
        </w:rPr>
        <w:t>做好</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粮头食尾</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农头工尾</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增值大文章，依托本地农业种植优势，大力发展鲜食玉米产品、方便粥、中央厨房等精深加工产品</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鼓励今麦郎等食品加工企业结合本地玉米、大米及香瓜、葡萄</w:t>
      </w:r>
      <w:r>
        <w:rPr>
          <w:rFonts w:ascii="Times New Roman" w:hAnsi="Times New Roman"/>
          <w:color w:val="auto"/>
          <w:szCs w:val="32"/>
          <w:highlight w:val="none"/>
          <w:lang w:bidi="ar"/>
        </w:rPr>
        <w:t>、芽苗菜</w:t>
      </w:r>
      <w:r>
        <w:rPr>
          <w:rFonts w:hint="default" w:ascii="Times New Roman" w:hAnsi="Times New Roman"/>
          <w:color w:val="auto"/>
          <w:szCs w:val="32"/>
          <w:highlight w:val="none"/>
          <w:lang w:bidi="ar"/>
        </w:rPr>
        <w:t>等特色农产品，推出米乳、果</w:t>
      </w:r>
      <w:r>
        <w:rPr>
          <w:rFonts w:ascii="Times New Roman" w:hAnsi="Times New Roman"/>
          <w:color w:val="auto"/>
          <w:szCs w:val="32"/>
          <w:highlight w:val="none"/>
          <w:lang w:bidi="ar"/>
        </w:rPr>
        <w:t>蔬</w:t>
      </w:r>
      <w:r>
        <w:rPr>
          <w:rFonts w:hint="default" w:ascii="Times New Roman" w:hAnsi="Times New Roman"/>
          <w:color w:val="auto"/>
          <w:szCs w:val="32"/>
          <w:highlight w:val="none"/>
          <w:lang w:bidi="ar"/>
        </w:rPr>
        <w:t>汁等</w:t>
      </w:r>
      <w:r>
        <w:rPr>
          <w:rFonts w:ascii="Times New Roman" w:hAnsi="Times New Roman"/>
          <w:color w:val="auto"/>
          <w:szCs w:val="32"/>
          <w:highlight w:val="none"/>
          <w:lang w:bidi="ar"/>
        </w:rPr>
        <w:t>健康饮品，推动精品果蔬深加工成便携伴手礼</w:t>
      </w:r>
      <w:r>
        <w:rPr>
          <w:rFonts w:hint="default" w:ascii="Times New Roman" w:hAnsi="Times New Roman"/>
          <w:color w:val="auto"/>
          <w:szCs w:val="32"/>
          <w:highlight w:val="none"/>
          <w:lang w:bidi="ar"/>
        </w:rPr>
        <w:t>。推动乡镇政府、企业和吉林大学、中国农科院等科研院校联合组建农产品精深加工产业科技创新联盟，聚焦</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品种选育+精深加工+资源利用+产业延伸+品牌塑造</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全链条，打造</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绿园</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农业品牌。</w:t>
      </w:r>
    </w:p>
    <w:p>
      <w:pPr>
        <w:pStyle w:val="19"/>
        <w:pageBreakBefore w:val="0"/>
        <w:wordWrap/>
        <w:overflowPunct/>
        <w:autoSpaceDE/>
        <w:autoSpaceDN/>
        <w:bidi w:val="0"/>
        <w:spacing w:line="530" w:lineRule="exact"/>
        <w:ind w:firstLine="643"/>
        <w:rPr>
          <w:color w:val="auto"/>
          <w:highlight w:val="none"/>
        </w:rPr>
      </w:pPr>
      <w:r>
        <w:rPr>
          <w:rFonts w:hint="eastAsia"/>
          <w:b/>
          <w:bCs/>
          <w:color w:val="auto"/>
          <w:highlight w:val="none"/>
        </w:rPr>
        <w:t>推动发展特色农业。</w:t>
      </w:r>
      <w:r>
        <w:rPr>
          <w:rFonts w:hint="eastAsia"/>
          <w:color w:val="auto"/>
          <w:highlight w:val="none"/>
        </w:rPr>
        <w:t>聚力发展特色农业，立足区域资源禀赋，扩大香瓜、葡萄、芽苗菜</w:t>
      </w:r>
      <w:r>
        <w:rPr>
          <w:rFonts w:hint="eastAsia"/>
          <w:color w:val="auto"/>
          <w:highlight w:val="none"/>
          <w:lang w:eastAsia="zh-CN"/>
        </w:rPr>
        <w:t>、</w:t>
      </w:r>
      <w:r>
        <w:rPr>
          <w:rFonts w:hint="eastAsia"/>
          <w:color w:val="auto"/>
          <w:highlight w:val="none"/>
          <w:lang w:val="en-US" w:eastAsia="zh-CN"/>
        </w:rPr>
        <w:t>君子兰</w:t>
      </w:r>
      <w:r>
        <w:rPr>
          <w:rFonts w:hint="eastAsia"/>
          <w:color w:val="auto"/>
          <w:highlight w:val="none"/>
        </w:rPr>
        <w:t>等特色</w:t>
      </w:r>
      <w:r>
        <w:rPr>
          <w:rFonts w:hint="eastAsia"/>
          <w:color w:val="auto"/>
          <w:highlight w:val="none"/>
          <w:lang w:val="en-US" w:eastAsia="zh-CN"/>
        </w:rPr>
        <w:t>种植产业，</w:t>
      </w:r>
      <w:r>
        <w:rPr>
          <w:rFonts w:hint="eastAsia"/>
          <w:color w:val="auto"/>
          <w:highlight w:val="none"/>
        </w:rPr>
        <w:t>加快引进高附加值新优品种及先进种植技术，</w:t>
      </w:r>
      <w:r>
        <w:rPr>
          <w:rFonts w:hint="eastAsia"/>
          <w:color w:val="auto"/>
          <w:highlight w:val="none"/>
          <w:lang w:val="en-US" w:eastAsia="zh-CN"/>
        </w:rPr>
        <w:t>扩大标准化</w:t>
      </w:r>
      <w:r>
        <w:rPr>
          <w:rFonts w:hint="eastAsia"/>
          <w:color w:val="auto"/>
          <w:highlight w:val="none"/>
        </w:rPr>
        <w:t>种植规模，提升特色农业经济带动作用。构建“企业+合作社+农户”的联动机制，整合零散种植资源，实现统一技术指导与产销对接。打造特色农业观光体验基地，延伸采摘、研学等产业链条，</w:t>
      </w:r>
      <w:r>
        <w:rPr>
          <w:color w:val="auto"/>
          <w:highlight w:val="none"/>
        </w:rPr>
        <w:t>以特色农业带动村集体经济</w:t>
      </w:r>
      <w:r>
        <w:rPr>
          <w:color w:val="auto"/>
          <w:szCs w:val="32"/>
          <w:highlight w:val="none"/>
        </w:rPr>
        <w:t>增长</w:t>
      </w:r>
      <w:r>
        <w:rPr>
          <w:color w:val="auto"/>
          <w:highlight w:val="none"/>
        </w:rPr>
        <w:t>与农民增收。</w:t>
      </w:r>
    </w:p>
    <w:p>
      <w:pPr>
        <w:pStyle w:val="19"/>
        <w:pageBreakBefore w:val="0"/>
        <w:wordWrap/>
        <w:overflowPunct/>
        <w:autoSpaceDE/>
        <w:autoSpaceDN/>
        <w:bidi w:val="0"/>
        <w:spacing w:line="530" w:lineRule="exact"/>
        <w:rPr>
          <w:rFonts w:hint="eastAsia"/>
          <w:color w:val="auto"/>
          <w:highlight w:val="none"/>
        </w:rPr>
      </w:pPr>
      <w:r>
        <w:rPr>
          <w:b/>
          <w:bCs/>
          <w:color w:val="auto"/>
          <w:highlight w:val="none"/>
        </w:rPr>
        <w:t>推进现代农业与现代服务业深度融合。</w:t>
      </w:r>
      <w:r>
        <w:rPr>
          <w:color w:val="auto"/>
          <w:highlight w:val="none"/>
        </w:rPr>
        <w:t>通过资源共享、平台搭建、数字赋能，促进现代服务业带动现代农业提质增效。重点推进优质应季农产品和冷藏保鲜仓储物流、休闲农业和乡村旅游、新型农村和电商等融合发展。</w:t>
      </w:r>
    </w:p>
    <w:p>
      <w:pPr>
        <w:pStyle w:val="4"/>
        <w:pageBreakBefore w:val="0"/>
        <w:wordWrap/>
        <w:overflowPunct/>
        <w:autoSpaceDE/>
        <w:autoSpaceDN/>
        <w:bidi w:val="0"/>
        <w:spacing w:line="530" w:lineRule="exact"/>
        <w:rPr>
          <w:color w:val="auto"/>
          <w:highlight w:val="none"/>
        </w:rPr>
      </w:pPr>
      <w:bookmarkStart w:id="265" w:name="_Toc1321446392"/>
      <w:bookmarkStart w:id="266" w:name="_Toc1691570565"/>
      <w:bookmarkStart w:id="267" w:name="_Toc340042991"/>
      <w:bookmarkStart w:id="268" w:name="_Toc1196983236"/>
      <w:r>
        <w:rPr>
          <w:rFonts w:hint="eastAsia"/>
          <w:color w:val="auto"/>
          <w:highlight w:val="none"/>
        </w:rPr>
        <w:t>优化高端装备及先进制造产业</w:t>
      </w:r>
      <w:bookmarkEnd w:id="265"/>
      <w:bookmarkEnd w:id="266"/>
      <w:bookmarkEnd w:id="267"/>
      <w:r>
        <w:rPr>
          <w:rFonts w:hint="eastAsia"/>
          <w:color w:val="auto"/>
          <w:highlight w:val="none"/>
          <w:lang w:val="en-US" w:eastAsia="zh-CN"/>
        </w:rPr>
        <w:t>链</w:t>
      </w:r>
      <w:bookmarkEnd w:id="268"/>
    </w:p>
    <w:p>
      <w:pPr>
        <w:pStyle w:val="19"/>
        <w:pageBreakBefore w:val="0"/>
        <w:wordWrap/>
        <w:overflowPunct/>
        <w:autoSpaceDE/>
        <w:autoSpaceDN/>
        <w:bidi w:val="0"/>
        <w:spacing w:line="530" w:lineRule="exact"/>
        <w:rPr>
          <w:color w:val="auto"/>
          <w:highlight w:val="none"/>
        </w:rPr>
      </w:pPr>
      <w:r>
        <w:rPr>
          <w:b/>
          <w:bCs/>
          <w:color w:val="auto"/>
          <w:highlight w:val="none"/>
        </w:rPr>
        <w:t>推动轨道客车制造业提质扩能。</w:t>
      </w:r>
      <w:r>
        <w:rPr>
          <w:color w:val="auto"/>
          <w:highlight w:val="none"/>
        </w:rPr>
        <w:t>支持中车长客</w:t>
      </w:r>
      <w:r>
        <w:rPr>
          <w:rFonts w:hint="eastAsia"/>
          <w:color w:val="auto"/>
          <w:highlight w:val="none"/>
          <w:lang w:val="en-US" w:eastAsia="zh-CN"/>
        </w:rPr>
        <w:t>建设</w:t>
      </w:r>
      <w:r>
        <w:rPr>
          <w:color w:val="auto"/>
          <w:highlight w:val="none"/>
        </w:rPr>
        <w:t>高端轨道交通装备数字化制造基地，</w:t>
      </w:r>
      <w:r>
        <w:rPr>
          <w:rFonts w:hint="eastAsia"/>
          <w:color w:val="auto"/>
          <w:highlight w:val="none"/>
        </w:rPr>
        <w:t>推进标准高速动车组工程化验证与新品开发，研制智能化、轻量化等下一代城铁车辆。</w:t>
      </w:r>
      <w:r>
        <w:rPr>
          <w:color w:val="auto"/>
          <w:highlight w:val="none"/>
        </w:rPr>
        <w:t>加快智能运维、轻量化材料等核心技术攻关</w:t>
      </w:r>
      <w:r>
        <w:rPr>
          <w:rFonts w:hint="eastAsia"/>
          <w:color w:val="auto"/>
          <w:highlight w:val="none"/>
        </w:rPr>
        <w:t>，加速自动驾驶、数字孪生产业化应用。发挥长客“链主”作用，强链补链，推动九大关键技术及十项配套技术本地化，建设共享平台，促进产业链抱团发展。推动企业向“制造+服务”转型，拓展全生命周期管理、远程运维等模式。建设智能运维基地，开发数字孪生远程运维系统，实现列车运行实时监控与预警。支持参与智能运维标准制定，培育服务品牌。</w:t>
      </w:r>
    </w:p>
    <w:p>
      <w:pPr>
        <w:pStyle w:val="19"/>
        <w:pageBreakBefore w:val="0"/>
        <w:wordWrap/>
        <w:overflowPunct/>
        <w:autoSpaceDE/>
        <w:autoSpaceDN/>
        <w:bidi w:val="0"/>
        <w:spacing w:line="530" w:lineRule="exact"/>
        <w:ind w:firstLine="643"/>
        <w:rPr>
          <w:color w:val="auto"/>
          <w:highlight w:val="none"/>
        </w:rPr>
      </w:pPr>
      <w:r>
        <w:rPr>
          <w:rFonts w:hint="default"/>
          <w:b/>
          <w:bCs/>
          <w:color w:val="auto"/>
          <w:highlight w:val="none"/>
        </w:rPr>
        <w:t>加速汽车配套产业转型升级。</w:t>
      </w:r>
      <w:r>
        <w:rPr>
          <w:color w:val="auto"/>
          <w:highlight w:val="none"/>
        </w:rPr>
        <w:t>紧扣零部件总成主攻方向，支持区内配套企业扩大规模、促进研发协同与转型升级，形成集群效应。围绕发动机、汽车电子等环节，引进核心零部件企业。推进采用超大型一体化压铸、智能柔性生产线等先进技术，提升效能。引领配套领域向新能源、智能化转化，</w:t>
      </w:r>
      <w:r>
        <w:rPr>
          <w:color w:val="auto"/>
          <w:szCs w:val="32"/>
          <w:highlight w:val="none"/>
        </w:rPr>
        <w:t>突破动力电池、智能座舱等关键技术</w:t>
      </w:r>
      <w:r>
        <w:rPr>
          <w:color w:val="auto"/>
          <w:highlight w:val="none"/>
        </w:rPr>
        <w:t>，聚焦轻量化、集成化、智能化，重点发展电动化、氢能、智能座舱等领域，</w:t>
      </w:r>
      <w:r>
        <w:rPr>
          <w:color w:val="auto"/>
          <w:szCs w:val="32"/>
          <w:highlight w:val="none"/>
        </w:rPr>
        <w:t>招引“三电”、车载芯片等领域企业</w:t>
      </w:r>
      <w:r>
        <w:rPr>
          <w:color w:val="auto"/>
          <w:highlight w:val="none"/>
        </w:rPr>
        <w:t>，提升本地配套能力</w:t>
      </w:r>
      <w:r>
        <w:rPr>
          <w:rFonts w:hint="default"/>
          <w:color w:val="auto"/>
          <w:highlight w:val="none"/>
        </w:rPr>
        <w:t>。</w:t>
      </w:r>
    </w:p>
    <w:p>
      <w:pPr>
        <w:pStyle w:val="19"/>
        <w:pageBreakBefore w:val="0"/>
        <w:wordWrap/>
        <w:overflowPunct/>
        <w:autoSpaceDE/>
        <w:autoSpaceDN/>
        <w:bidi w:val="0"/>
        <w:spacing w:line="530" w:lineRule="exact"/>
        <w:rPr>
          <w:rStyle w:val="16"/>
          <w:color w:val="auto"/>
          <w:highlight w:val="none"/>
        </w:rPr>
      </w:pPr>
      <w:r>
        <w:rPr>
          <w:b/>
          <w:bCs/>
          <w:color w:val="auto"/>
          <w:highlight w:val="none"/>
        </w:rPr>
        <w:t>推进先进制造业与现代服务业深度融合。</w:t>
      </w:r>
      <w:r>
        <w:rPr>
          <w:color w:val="auto"/>
          <w:highlight w:val="none"/>
        </w:rPr>
        <w:t>通过业务关联、链条延伸、技术渗透等方式，强化现代服务业对先进制造业的提质赋能和引领推动作用。重点推进汽车制造与服务全链条、高端装备制造和服务集成化、现代物流和制造业、研发设计和制造业、文化旅游和制造业等融合发展。</w:t>
      </w:r>
    </w:p>
    <w:p>
      <w:pPr>
        <w:pStyle w:val="4"/>
        <w:pageBreakBefore w:val="0"/>
        <w:wordWrap/>
        <w:overflowPunct/>
        <w:autoSpaceDE/>
        <w:autoSpaceDN/>
        <w:bidi w:val="0"/>
        <w:spacing w:line="530" w:lineRule="exact"/>
        <w:rPr>
          <w:color w:val="auto"/>
          <w:highlight w:val="none"/>
        </w:rPr>
      </w:pPr>
      <w:bookmarkStart w:id="269" w:name="_Toc273633070"/>
      <w:bookmarkStart w:id="270" w:name="_Toc1837966969"/>
      <w:bookmarkStart w:id="271" w:name="_Toc648565070"/>
      <w:bookmarkStart w:id="272" w:name="_Toc70442356"/>
      <w:r>
        <w:rPr>
          <w:rFonts w:hint="eastAsia"/>
          <w:color w:val="auto"/>
          <w:highlight w:val="none"/>
        </w:rPr>
        <w:t>激活生产性服务业</w:t>
      </w:r>
      <w:bookmarkEnd w:id="269"/>
      <w:bookmarkEnd w:id="270"/>
      <w:bookmarkEnd w:id="271"/>
      <w:r>
        <w:rPr>
          <w:rFonts w:hint="eastAsia"/>
          <w:color w:val="auto"/>
          <w:highlight w:val="none"/>
          <w:lang w:val="en-US" w:eastAsia="zh-CN"/>
        </w:rPr>
        <w:t>产业链</w:t>
      </w:r>
      <w:bookmarkEnd w:id="272"/>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lang w:val="en-US" w:eastAsia="zh-CN"/>
        </w:rPr>
        <w:t>做优</w:t>
      </w:r>
      <w:r>
        <w:rPr>
          <w:rFonts w:hint="eastAsia"/>
          <w:b/>
          <w:bCs/>
          <w:color w:val="auto"/>
          <w:highlight w:val="none"/>
        </w:rPr>
        <w:t>专业技术服务。</w:t>
      </w:r>
      <w:r>
        <w:rPr>
          <w:color w:val="auto"/>
          <w:highlight w:val="none"/>
        </w:rPr>
        <w:t>巩固提升轨道客车、汽车等领域专业服务能力，</w:t>
      </w:r>
      <w:r>
        <w:rPr>
          <w:color w:val="auto"/>
          <w:szCs w:val="32"/>
          <w:highlight w:val="none"/>
        </w:rPr>
        <w:t>建设高能级检验检测平台，</w:t>
      </w:r>
      <w:r>
        <w:rPr>
          <w:color w:val="auto"/>
          <w:highlight w:val="none"/>
        </w:rPr>
        <w:t>加快布局高端装备制造、新能源汽车等领域工业设计中心、质量认证中心、共性技术平台、中试验证基地等产业技术基础公共服务平台，培育高影响力的品牌。支持专业技术服务企业向规模化、品牌化发展，培育发展第三方治理、绿电交易等新业态，支持专业节能环保服务机构发展壮大。</w:t>
      </w:r>
    </w:p>
    <w:p>
      <w:pPr>
        <w:pStyle w:val="19"/>
        <w:pageBreakBefore w:val="0"/>
        <w:wordWrap/>
        <w:overflowPunct/>
        <w:autoSpaceDE/>
        <w:autoSpaceDN/>
        <w:bidi w:val="0"/>
        <w:spacing w:line="530" w:lineRule="exact"/>
        <w:rPr>
          <w:rFonts w:hint="eastAsia"/>
          <w:color w:val="auto"/>
          <w:highlight w:val="none"/>
        </w:rPr>
      </w:pPr>
      <w:r>
        <w:rPr>
          <w:rFonts w:hint="default"/>
          <w:b/>
          <w:bCs/>
          <w:color w:val="auto"/>
          <w:highlight w:val="none"/>
        </w:rPr>
        <w:t>做实金融服务。</w:t>
      </w:r>
      <w:r>
        <w:rPr>
          <w:rFonts w:hint="default"/>
          <w:color w:val="auto"/>
          <w:highlight w:val="none"/>
        </w:rPr>
        <w:t>聚焦金融赋能实体经济，依托产业引导基金运作模式，强化政银企对接平台效能，引导</w:t>
      </w:r>
      <w:r>
        <w:rPr>
          <w:color w:val="auto"/>
          <w:highlight w:val="none"/>
        </w:rPr>
        <w:t>金融“活水”</w:t>
      </w:r>
      <w:r>
        <w:rPr>
          <w:rFonts w:hint="default"/>
          <w:color w:val="auto"/>
          <w:highlight w:val="none"/>
        </w:rPr>
        <w:t>向“实”而流、向“绿”汇聚，助力小微企业及农产品加工龙头企业。积极发展产业投资基金、创业投资基金、金融控股、融资租赁、商业保理等多元化业态。推动科技金融、绿色金融、普惠金融、养老金融、数字金融落地落细，提高金融服务实体经济的质量和水平。发展天使基金、创业基金等风险投资优化金融环境，创新</w:t>
      </w:r>
      <w:r>
        <w:rPr>
          <w:color w:val="auto"/>
          <w:highlight w:val="none"/>
        </w:rPr>
        <w:t>科技</w:t>
      </w:r>
      <w:r>
        <w:rPr>
          <w:rFonts w:hint="default"/>
          <w:color w:val="auto"/>
          <w:highlight w:val="none"/>
        </w:rPr>
        <w:t>金融产品和服务，提升科技金融专属产品效能。完善风险防控体系，优化融资信贷支持政策，助力企业科技创新与数字转型，构建产融协同发展生态。</w:t>
      </w:r>
    </w:p>
    <w:p>
      <w:pPr>
        <w:pStyle w:val="19"/>
        <w:pageBreakBefore w:val="0"/>
        <w:wordWrap/>
        <w:overflowPunct/>
        <w:autoSpaceDE/>
        <w:autoSpaceDN/>
        <w:bidi w:val="0"/>
        <w:spacing w:line="530" w:lineRule="exact"/>
        <w:rPr>
          <w:color w:val="auto"/>
          <w:highlight w:val="none"/>
        </w:rPr>
      </w:pPr>
      <w:r>
        <w:rPr>
          <w:rFonts w:hint="eastAsia"/>
          <w:b/>
          <w:bCs/>
          <w:color w:val="auto"/>
          <w:highlight w:val="none"/>
          <w:lang w:val="en-US" w:eastAsia="zh-CN"/>
        </w:rPr>
        <w:t>做精</w:t>
      </w:r>
      <w:r>
        <w:rPr>
          <w:b/>
          <w:bCs/>
          <w:color w:val="auto"/>
          <w:highlight w:val="none"/>
        </w:rPr>
        <w:t>人力资源产业。</w:t>
      </w:r>
      <w:r>
        <w:rPr>
          <w:color w:val="auto"/>
          <w:highlight w:val="none"/>
        </w:rPr>
        <w:t>推进居家养老、婴幼儿看护、月嫂等居民家庭服务产业发展。培育行业龙头企业，打造区域职业教育品牌。提升行业技术人员服务质量，强化“投资于人”理念，推动绿园区家庭服务教培中心建设，引领服务标准化发展、提升服务品质。推进信用评估体系建设，推动搭建家庭服务云平台，实现</w:t>
      </w:r>
      <w:r>
        <w:rPr>
          <w:rFonts w:hint="eastAsia"/>
          <w:color w:val="auto"/>
          <w:highlight w:val="none"/>
          <w:lang w:val="en-US" w:eastAsia="zh-CN"/>
        </w:rPr>
        <w:t>服务</w:t>
      </w:r>
      <w:r>
        <w:rPr>
          <w:color w:val="auto"/>
          <w:highlight w:val="none"/>
        </w:rPr>
        <w:t>信息一网可查。</w:t>
      </w:r>
    </w:p>
    <w:p>
      <w:pPr>
        <w:pStyle w:val="19"/>
        <w:bidi w:val="0"/>
        <w:rPr>
          <w:rFonts w:hint="eastAsia"/>
          <w:highlight w:val="none"/>
        </w:rPr>
      </w:pPr>
      <w:r>
        <w:rPr>
          <w:rFonts w:hint="default"/>
          <w:b/>
          <w:bCs/>
          <w:highlight w:val="none"/>
          <w:lang w:val="en-US" w:eastAsia="zh-CN"/>
        </w:rPr>
        <w:t>做</w:t>
      </w:r>
      <w:r>
        <w:rPr>
          <w:rFonts w:hint="eastAsia"/>
          <w:b/>
          <w:bCs/>
          <w:highlight w:val="none"/>
          <w:lang w:val="en-US" w:eastAsia="zh-CN"/>
        </w:rPr>
        <w:t>强</w:t>
      </w:r>
      <w:r>
        <w:rPr>
          <w:rFonts w:hint="default"/>
          <w:b/>
          <w:bCs/>
          <w:highlight w:val="none"/>
          <w:lang w:val="en-US" w:eastAsia="zh-CN"/>
        </w:rPr>
        <w:t>数字经济。</w:t>
      </w:r>
      <w:r>
        <w:rPr>
          <w:rFonts w:hint="default"/>
          <w:highlight w:val="none"/>
        </w:rPr>
        <w:t>以数字技术与实体经济融合为主线，聚焦软件产业提质</w:t>
      </w:r>
      <w:r>
        <w:rPr>
          <w:rFonts w:hint="eastAsia"/>
          <w:highlight w:val="none"/>
          <w:lang w:eastAsia="zh-CN"/>
        </w:rPr>
        <w:t>。</w:t>
      </w:r>
      <w:r>
        <w:rPr>
          <w:rFonts w:hint="default"/>
          <w:highlight w:val="none"/>
        </w:rPr>
        <w:t>支持软件企业在工业控制、供应链管理、行业专用软</w:t>
      </w:r>
      <w:r>
        <w:rPr>
          <w:rFonts w:hint="eastAsia"/>
          <w:highlight w:val="none"/>
          <w:lang w:eastAsia="zh-CN"/>
        </w:rPr>
        <w:t>件等</w:t>
      </w:r>
      <w:r>
        <w:rPr>
          <w:rFonts w:hint="default"/>
          <w:highlight w:val="none"/>
        </w:rPr>
        <w:t>方面提高开发能力</w:t>
      </w:r>
      <w:r>
        <w:rPr>
          <w:rFonts w:hint="eastAsia"/>
          <w:highlight w:val="none"/>
        </w:rPr>
        <w:t>，</w:t>
      </w:r>
      <w:r>
        <w:rPr>
          <w:rFonts w:hint="eastAsia"/>
          <w:highlight w:val="none"/>
          <w:lang w:val="en-US" w:eastAsia="zh-CN"/>
        </w:rPr>
        <w:t>积极</w:t>
      </w:r>
      <w:r>
        <w:rPr>
          <w:rFonts w:hint="eastAsia"/>
          <w:highlight w:val="none"/>
        </w:rPr>
        <w:t>引入知名软件公司赋能本土企业。</w:t>
      </w:r>
      <w:r>
        <w:rPr>
          <w:rFonts w:hint="eastAsia"/>
          <w:highlight w:val="none"/>
          <w:lang w:val="en-US" w:eastAsia="zh-CN"/>
        </w:rPr>
        <w:t>支持</w:t>
      </w:r>
      <w:r>
        <w:rPr>
          <w:rFonts w:hint="eastAsia"/>
          <w:highlight w:val="none"/>
        </w:rPr>
        <w:t>发展云、大数据等新型应用软件产业，围绕信息安全等特色领域，打造知名软件及服务外包园区</w:t>
      </w:r>
      <w:r>
        <w:rPr>
          <w:rFonts w:hint="eastAsia"/>
          <w:highlight w:val="none"/>
          <w:lang w:eastAsia="zh-CN"/>
        </w:rPr>
        <w:t>。</w:t>
      </w:r>
      <w:r>
        <w:rPr>
          <w:rFonts w:hint="eastAsia"/>
          <w:highlight w:val="none"/>
          <w:lang w:val="en-US" w:eastAsia="zh-CN"/>
        </w:rPr>
        <w:t>支持</w:t>
      </w:r>
      <w:r>
        <w:rPr>
          <w:rFonts w:hint="eastAsia"/>
          <w:highlight w:val="none"/>
        </w:rPr>
        <w:t>培育</w:t>
      </w:r>
      <w:r>
        <w:rPr>
          <w:rFonts w:hint="eastAsia"/>
          <w:highlight w:val="none"/>
          <w:lang w:val="en-US" w:eastAsia="zh-CN"/>
        </w:rPr>
        <w:t>建设</w:t>
      </w:r>
      <w:r>
        <w:rPr>
          <w:rFonts w:hint="eastAsia"/>
          <w:highlight w:val="none"/>
        </w:rPr>
        <w:t>工业互联网平台，</w:t>
      </w:r>
      <w:r>
        <w:rPr>
          <w:rFonts w:hint="default"/>
          <w:highlight w:val="none"/>
        </w:rPr>
        <w:t>加大技术研发和成果应用，</w:t>
      </w:r>
      <w:r>
        <w:rPr>
          <w:rFonts w:hint="eastAsia"/>
          <w:highlight w:val="none"/>
        </w:rPr>
        <w:t>为新绿园建设注入数字动能。</w:t>
      </w:r>
    </w:p>
    <w:p>
      <w:pPr>
        <w:pStyle w:val="4"/>
        <w:pageBreakBefore w:val="0"/>
        <w:wordWrap/>
        <w:overflowPunct/>
        <w:autoSpaceDE/>
        <w:autoSpaceDN/>
        <w:bidi w:val="0"/>
        <w:spacing w:line="530" w:lineRule="exact"/>
        <w:rPr>
          <w:rFonts w:hint="eastAsia"/>
          <w:color w:val="auto"/>
          <w:highlight w:val="none"/>
        </w:rPr>
      </w:pPr>
      <w:bookmarkStart w:id="273" w:name="_Toc1188519263"/>
      <w:bookmarkStart w:id="274" w:name="_Toc1306069535"/>
      <w:bookmarkStart w:id="275" w:name="_Toc1953622965"/>
      <w:bookmarkStart w:id="276" w:name="_Toc661187795"/>
      <w:r>
        <w:rPr>
          <w:rFonts w:hint="eastAsia"/>
          <w:color w:val="auto"/>
          <w:highlight w:val="none"/>
        </w:rPr>
        <w:t>深化文商旅融合产业</w:t>
      </w:r>
      <w:bookmarkEnd w:id="273"/>
      <w:bookmarkEnd w:id="274"/>
      <w:bookmarkEnd w:id="275"/>
      <w:r>
        <w:rPr>
          <w:rFonts w:hint="eastAsia"/>
          <w:color w:val="auto"/>
          <w:highlight w:val="none"/>
          <w:lang w:val="en-US" w:eastAsia="zh-CN"/>
        </w:rPr>
        <w:t>链</w:t>
      </w:r>
      <w:bookmarkEnd w:id="276"/>
    </w:p>
    <w:p>
      <w:pPr>
        <w:pStyle w:val="19"/>
        <w:pageBreakBefore w:val="0"/>
        <w:wordWrap/>
        <w:overflowPunct/>
        <w:autoSpaceDE/>
        <w:autoSpaceDN/>
        <w:bidi w:val="0"/>
        <w:spacing w:line="530" w:lineRule="exact"/>
        <w:rPr>
          <w:rFonts w:hint="eastAsia"/>
          <w:color w:val="auto"/>
          <w:highlight w:val="none"/>
        </w:rPr>
      </w:pPr>
      <w:r>
        <w:rPr>
          <w:rFonts w:ascii="Times New Roman" w:hAnsi="Times New Roman" w:cs="Times New Roman"/>
          <w:b/>
          <w:bCs/>
          <w:color w:val="auto"/>
          <w:kern w:val="0"/>
          <w:szCs w:val="32"/>
          <w:highlight w:val="none"/>
          <w:lang w:bidi="ar"/>
        </w:rPr>
        <w:t>乡村文旅赋能增收。</w:t>
      </w:r>
      <w:r>
        <w:rPr>
          <w:rFonts w:ascii="Times New Roman" w:hAnsi="Times New Roman" w:cs="Times New Roman"/>
          <w:color w:val="auto"/>
          <w:kern w:val="0"/>
          <w:szCs w:val="32"/>
          <w:highlight w:val="none"/>
          <w:lang w:bidi="ar"/>
        </w:rPr>
        <w:t>以打造国家级、省级乡村旅游重点村为抓手，深挖乡村民俗、农耕文化资源，串联晟裕生态园、红民文旅度假村等节点，打造乡村“微度假”文旅休闲路线。开发休闲农业、研学体验、民俗展演等文旅产品，吸引城乡游客集聚，带动乡村餐饮、住宿、特色农产品销售等业态发展。推动乡村文旅与商住开发、农产品商贸融合，完善基础设施，以文旅流量激活商业消费潜力，拓宽农民增收渠道，构建“文旅+农业+商业”协同发展的乡村经济新格局。</w:t>
      </w:r>
    </w:p>
    <w:p>
      <w:pPr>
        <w:pStyle w:val="19"/>
        <w:pageBreakBefore w:val="0"/>
        <w:wordWrap/>
        <w:overflowPunct/>
        <w:autoSpaceDE/>
        <w:autoSpaceDN/>
        <w:bidi w:val="0"/>
        <w:spacing w:line="530" w:lineRule="exact"/>
        <w:rPr>
          <w:rFonts w:hint="default" w:ascii="Times New Roman" w:hAnsi="Times New Roman" w:cs="Times New Roman"/>
          <w:color w:val="auto"/>
          <w:kern w:val="0"/>
          <w:sz w:val="32"/>
          <w:szCs w:val="32"/>
          <w:highlight w:val="none"/>
          <w:lang w:bidi="ar"/>
        </w:rPr>
      </w:pPr>
      <w:r>
        <w:rPr>
          <w:rFonts w:hint="default" w:ascii="Times New Roman" w:hAnsi="Times New Roman" w:cs="Times New Roman"/>
          <w:b/>
          <w:bCs/>
          <w:color w:val="auto"/>
          <w:kern w:val="0"/>
          <w:sz w:val="32"/>
          <w:szCs w:val="32"/>
          <w:highlight w:val="none"/>
          <w:lang w:val="en-US" w:eastAsia="zh-CN" w:bidi="ar"/>
        </w:rPr>
        <w:t>民俗文化拉动消费</w:t>
      </w:r>
      <w:r>
        <w:rPr>
          <w:rFonts w:hint="default" w:ascii="Times New Roman" w:hAnsi="Times New Roman" w:cs="Times New Roman"/>
          <w:b/>
          <w:bCs/>
          <w:color w:val="auto"/>
          <w:kern w:val="0"/>
          <w:sz w:val="32"/>
          <w:szCs w:val="32"/>
          <w:highlight w:val="none"/>
          <w:lang w:bidi="ar"/>
        </w:rPr>
        <w:t>。</w:t>
      </w:r>
      <w:r>
        <w:rPr>
          <w:rFonts w:hint="default" w:ascii="Times New Roman" w:hAnsi="Times New Roman" w:cs="Times New Roman"/>
          <w:color w:val="auto"/>
          <w:kern w:val="0"/>
          <w:sz w:val="32"/>
          <w:szCs w:val="32"/>
          <w:highlight w:val="none"/>
          <w:lang w:bidi="ar"/>
        </w:rPr>
        <w:t>深入挖掘关东民俗文化内涵，支持开发沉浸式民俗体验项目与特色文创商品</w:t>
      </w:r>
      <w:r>
        <w:rPr>
          <w:rFonts w:hint="default" w:ascii="Times New Roman" w:hAnsi="Times New Roman" w:cs="Times New Roman"/>
          <w:color w:val="auto"/>
          <w:kern w:val="0"/>
          <w:sz w:val="32"/>
          <w:szCs w:val="32"/>
          <w:highlight w:val="none"/>
          <w:lang w:eastAsia="zh-CN" w:bidi="ar"/>
        </w:rPr>
        <w:t>，</w:t>
      </w:r>
      <w:r>
        <w:rPr>
          <w:rFonts w:hint="default" w:ascii="Times New Roman" w:hAnsi="Times New Roman" w:cs="Times New Roman"/>
          <w:color w:val="auto"/>
          <w:kern w:val="0"/>
          <w:sz w:val="32"/>
          <w:szCs w:val="32"/>
          <w:highlight w:val="none"/>
          <w:lang w:bidi="ar"/>
        </w:rPr>
        <w:t>扩大接待规模的辐射效应。鼓励</w:t>
      </w:r>
      <w:r>
        <w:rPr>
          <w:rFonts w:ascii="Times New Roman" w:hAnsi="Times New Roman" w:cs="Times New Roman"/>
          <w:color w:val="auto"/>
          <w:kern w:val="0"/>
          <w:szCs w:val="32"/>
          <w:highlight w:val="none"/>
          <w:lang w:bidi="ar"/>
        </w:rPr>
        <w:t>打造</w:t>
      </w:r>
      <w:r>
        <w:rPr>
          <w:rFonts w:hint="default" w:ascii="Times New Roman" w:hAnsi="Times New Roman" w:cs="Times New Roman"/>
          <w:color w:val="auto"/>
          <w:kern w:val="0"/>
          <w:szCs w:val="32"/>
          <w:highlight w:val="none"/>
          <w:lang w:bidi="ar"/>
        </w:rPr>
        <w:t>民俗文化IP</w:t>
      </w:r>
      <w:r>
        <w:rPr>
          <w:rFonts w:hint="default" w:ascii="Times New Roman" w:hAnsi="Times New Roman" w:cs="Times New Roman"/>
          <w:color w:val="auto"/>
          <w:kern w:val="0"/>
          <w:sz w:val="32"/>
          <w:szCs w:val="32"/>
          <w:highlight w:val="none"/>
          <w:lang w:eastAsia="zh-CN" w:bidi="ar"/>
        </w:rPr>
        <w:t>，</w:t>
      </w:r>
      <w:r>
        <w:rPr>
          <w:rFonts w:hint="default" w:ascii="Times New Roman" w:hAnsi="Times New Roman" w:cs="Times New Roman"/>
          <w:color w:val="auto"/>
          <w:kern w:val="0"/>
          <w:sz w:val="32"/>
          <w:szCs w:val="32"/>
          <w:highlight w:val="none"/>
          <w:lang w:bidi="ar"/>
        </w:rPr>
        <w:t>引入</w:t>
      </w:r>
      <w:r>
        <w:rPr>
          <w:rFonts w:hint="default" w:ascii="Times New Roman" w:hAnsi="Times New Roman" w:cs="Times New Roman"/>
          <w:color w:val="auto"/>
          <w:kern w:val="0"/>
          <w:sz w:val="32"/>
          <w:szCs w:val="32"/>
          <w:highlight w:val="none"/>
          <w:lang w:val="en-US" w:eastAsia="zh-CN" w:bidi="ar"/>
        </w:rPr>
        <w:t>婚庆会展、温泉培训、会务演出、</w:t>
      </w:r>
      <w:r>
        <w:rPr>
          <w:rFonts w:hint="default" w:ascii="Times New Roman" w:hAnsi="Times New Roman" w:cs="Times New Roman"/>
          <w:color w:val="auto"/>
          <w:kern w:val="0"/>
          <w:sz w:val="32"/>
          <w:szCs w:val="32"/>
          <w:highlight w:val="none"/>
          <w:lang w:bidi="ar"/>
        </w:rPr>
        <w:t>特色餐饮、非遗工坊、文化集市等特色文创产品与主题商贸活动，</w:t>
      </w:r>
      <w:r>
        <w:rPr>
          <w:rFonts w:hint="default" w:ascii="Times New Roman" w:hAnsi="Times New Roman" w:cs="Times New Roman"/>
          <w:color w:val="auto"/>
          <w:kern w:val="0"/>
          <w:sz w:val="32"/>
          <w:szCs w:val="32"/>
          <w:highlight w:val="none"/>
          <w:lang w:val="en-US" w:eastAsia="zh-CN" w:bidi="ar"/>
        </w:rPr>
        <w:t>以文旅引流、商业变现模式带动关联产业增收，</w:t>
      </w:r>
      <w:r>
        <w:rPr>
          <w:rFonts w:hint="default" w:ascii="Times New Roman" w:hAnsi="Times New Roman" w:cs="Times New Roman"/>
          <w:color w:val="auto"/>
          <w:kern w:val="0"/>
          <w:sz w:val="32"/>
          <w:szCs w:val="32"/>
          <w:highlight w:val="none"/>
          <w:lang w:bidi="ar"/>
        </w:rPr>
        <w:t>实现文化体验向商业消费的高效转化。</w:t>
      </w:r>
      <w:r>
        <w:rPr>
          <w:rFonts w:hint="default" w:ascii="Times New Roman" w:hAnsi="Times New Roman" w:cs="Times New Roman"/>
          <w:color w:val="auto"/>
          <w:kern w:val="0"/>
          <w:sz w:val="32"/>
          <w:szCs w:val="32"/>
          <w:highlight w:val="none"/>
          <w:lang w:val="en-US" w:eastAsia="zh-CN" w:bidi="ar"/>
        </w:rPr>
        <w:t>同时</w:t>
      </w:r>
      <w:r>
        <w:rPr>
          <w:rFonts w:hint="default" w:ascii="Times New Roman" w:hAnsi="Times New Roman" w:cs="Times New Roman"/>
          <w:color w:val="auto"/>
          <w:kern w:val="0"/>
          <w:sz w:val="32"/>
          <w:szCs w:val="32"/>
          <w:highlight w:val="none"/>
          <w:lang w:bidi="ar"/>
        </w:rPr>
        <w:t>提升文化吸引力</w:t>
      </w:r>
      <w:r>
        <w:rPr>
          <w:rFonts w:hint="default" w:ascii="Times New Roman" w:hAnsi="Times New Roman" w:cs="Times New Roman"/>
          <w:color w:val="auto"/>
          <w:kern w:val="0"/>
          <w:sz w:val="32"/>
          <w:szCs w:val="32"/>
          <w:highlight w:val="none"/>
          <w:lang w:val="en-US" w:eastAsia="zh-CN" w:bidi="ar"/>
        </w:rPr>
        <w:t>和</w:t>
      </w:r>
      <w:r>
        <w:rPr>
          <w:rFonts w:hint="default" w:ascii="Times New Roman" w:hAnsi="Times New Roman" w:cs="Times New Roman"/>
          <w:color w:val="auto"/>
          <w:kern w:val="0"/>
          <w:sz w:val="32"/>
          <w:szCs w:val="32"/>
          <w:highlight w:val="none"/>
          <w:lang w:bidi="ar"/>
        </w:rPr>
        <w:t>文化体验满意度，延长游客停留时间，扩大过夜消费，直接拉动区域零售、住宿与服务业经济增长。</w:t>
      </w:r>
    </w:p>
    <w:p>
      <w:pPr>
        <w:pStyle w:val="19"/>
        <w:pageBreakBefore w:val="0"/>
        <w:wordWrap/>
        <w:overflowPunct/>
        <w:autoSpaceDE/>
        <w:autoSpaceDN/>
        <w:bidi w:val="0"/>
        <w:spacing w:line="530" w:lineRule="exact"/>
        <w:rPr>
          <w:rFonts w:hint="default" w:ascii="Times New Roman" w:hAnsi="Times New Roman"/>
          <w:b w:val="0"/>
          <w:bCs w:val="0"/>
          <w:color w:val="auto"/>
          <w:szCs w:val="32"/>
          <w:highlight w:val="none"/>
          <w:lang w:bidi="ar"/>
        </w:rPr>
      </w:pPr>
      <w:r>
        <w:rPr>
          <w:b/>
          <w:bCs/>
          <w:color w:val="auto"/>
          <w:highlight w:val="none"/>
        </w:rPr>
        <w:t>生态文旅培育动能。</w:t>
      </w:r>
      <w:r>
        <w:rPr>
          <w:rFonts w:hint="default"/>
          <w:color w:val="auto"/>
          <w:highlight w:val="none"/>
        </w:rPr>
        <w:t>整合长春公园、同心湖</w:t>
      </w:r>
      <w:r>
        <w:rPr>
          <w:color w:val="auto"/>
          <w:highlight w:val="none"/>
        </w:rPr>
        <w:t>公园、锦江公园、天香</w:t>
      </w:r>
      <w:r>
        <w:rPr>
          <w:rFonts w:hint="default"/>
          <w:color w:val="auto"/>
          <w:highlight w:val="none"/>
        </w:rPr>
        <w:t>公园</w:t>
      </w:r>
      <w:r>
        <w:rPr>
          <w:color w:val="auto"/>
          <w:highlight w:val="none"/>
        </w:rPr>
        <w:t>、</w:t>
      </w:r>
      <w:r>
        <w:rPr>
          <w:rFonts w:hint="default"/>
          <w:color w:val="auto"/>
          <w:highlight w:val="none"/>
        </w:rPr>
        <w:t>蓝天公园等生态景观资源，引进和培育</w:t>
      </w:r>
      <w:r>
        <w:rPr>
          <w:color w:val="auto"/>
          <w:highlight w:val="none"/>
        </w:rPr>
        <w:t>特色商贸</w:t>
      </w:r>
      <w:r>
        <w:rPr>
          <w:rFonts w:hint="default"/>
          <w:color w:val="auto"/>
          <w:highlight w:val="none"/>
        </w:rPr>
        <w:t>、水上运动俱乐部等经营主体，开发系列化、品牌化消费产品，发展以都市休闲、健康养生、户外运动为特色的湖滨经济。通过公园花展、湖滨休闲活动等引流，将生态客群导向毗邻的吾悦广场等商业配套设施实现“生态引流、商业留客”</w:t>
      </w:r>
      <w:r>
        <w:rPr>
          <w:color w:val="auto"/>
          <w:highlight w:val="none"/>
        </w:rPr>
        <w:t>的良性循环</w:t>
      </w:r>
      <w:r>
        <w:rPr>
          <w:rFonts w:hint="default"/>
          <w:color w:val="auto"/>
          <w:highlight w:val="none"/>
        </w:rPr>
        <w:t>。支持商业体发展首店经济、夜间经济，承接文旅溢出效应培育消费热点，延长消费链条，以生态文旅增强商业辐射力，形成良性循环，为区域经济注入持续动力。</w:t>
      </w:r>
    </w:p>
    <w:p>
      <w:pPr>
        <w:pStyle w:val="3"/>
        <w:pageBreakBefore w:val="0"/>
        <w:wordWrap/>
        <w:overflowPunct/>
        <w:autoSpaceDE/>
        <w:autoSpaceDN/>
        <w:bidi w:val="0"/>
        <w:spacing w:line="530" w:lineRule="exact"/>
        <w:rPr>
          <w:color w:val="auto"/>
          <w:highlight w:val="none"/>
        </w:rPr>
      </w:pPr>
      <w:bookmarkStart w:id="277" w:name="_Toc1337171898"/>
      <w:bookmarkStart w:id="278" w:name="_Toc1680318758"/>
      <w:bookmarkStart w:id="279" w:name="_Toc955471025"/>
      <w:bookmarkStart w:id="280" w:name="_Toc1502880987"/>
      <w:bookmarkStart w:id="281" w:name="_Toc945215500"/>
      <w:bookmarkStart w:id="282" w:name="_Toc1663693772"/>
      <w:bookmarkStart w:id="283" w:name="_Toc446284383"/>
      <w:bookmarkStart w:id="284" w:name="_Toc1697852494"/>
      <w:r>
        <w:rPr>
          <w:rFonts w:hint="eastAsia"/>
          <w:color w:val="auto"/>
          <w:highlight w:val="none"/>
        </w:rPr>
        <w:t>加快布局七条产业赛道</w:t>
      </w:r>
      <w:bookmarkEnd w:id="277"/>
      <w:bookmarkEnd w:id="278"/>
      <w:bookmarkEnd w:id="279"/>
      <w:bookmarkEnd w:id="280"/>
      <w:bookmarkEnd w:id="281"/>
      <w:bookmarkEnd w:id="282"/>
      <w:bookmarkEnd w:id="283"/>
      <w:bookmarkEnd w:id="284"/>
    </w:p>
    <w:p>
      <w:pPr>
        <w:pStyle w:val="19"/>
        <w:pageBreakBefore w:val="0"/>
        <w:wordWrap/>
        <w:overflowPunct/>
        <w:autoSpaceDE/>
        <w:autoSpaceDN/>
        <w:bidi w:val="0"/>
        <w:spacing w:line="530" w:lineRule="exact"/>
        <w:rPr>
          <w:rFonts w:hint="eastAsia" w:ascii="Times New Roman" w:hAnsi="Times New Roman" w:cs="Times New Roman"/>
          <w:color w:val="auto"/>
          <w:kern w:val="0"/>
          <w:sz w:val="32"/>
          <w:szCs w:val="32"/>
          <w:highlight w:val="none"/>
          <w:lang w:bidi="ar"/>
        </w:rPr>
      </w:pPr>
      <w:r>
        <w:rPr>
          <w:rFonts w:ascii="Times New Roman" w:hAnsi="Times New Roman" w:cs="Times New Roman"/>
          <w:b/>
          <w:bCs/>
          <w:color w:val="auto"/>
          <w:kern w:val="0"/>
          <w:szCs w:val="32"/>
          <w:highlight w:val="none"/>
          <w:lang w:bidi="ar"/>
        </w:rPr>
        <w:t>创新发展智能装备制造。</w:t>
      </w:r>
      <w:r>
        <w:rPr>
          <w:rFonts w:ascii="Times New Roman" w:hAnsi="Times New Roman" w:cs="Times New Roman"/>
          <w:color w:val="auto"/>
          <w:kern w:val="0"/>
          <w:szCs w:val="32"/>
          <w:highlight w:val="none"/>
          <w:lang w:bidi="ar"/>
        </w:rPr>
        <w:t>依托轨道交通、汽车零部件等优势制造业根基，聚焦智能加工、智能工厂建设，向工业自动化、工业互联网及工业机器人等智能化方向发展。有序推动“两车”配套企业加快技改升级与设备更新，深化新一代信息技术与制造业融合，支持智能装备产业园建设，强化企业技术中心等创新平台作用。以高端化、智能化为方向，推动高端装备产业链提质增效，助力区域工业高质量发展转型。</w:t>
      </w:r>
    </w:p>
    <w:p>
      <w:pPr>
        <w:pStyle w:val="19"/>
        <w:pageBreakBefore w:val="0"/>
        <w:wordWrap/>
        <w:overflowPunct/>
        <w:autoSpaceDE/>
        <w:autoSpaceDN/>
        <w:bidi w:val="0"/>
        <w:spacing w:line="530" w:lineRule="exact"/>
        <w:rPr>
          <w:rFonts w:hint="eastAsia" w:ascii="Times New Roman" w:hAnsi="Times New Roman" w:cs="Times New Roman"/>
          <w:b/>
          <w:bCs/>
          <w:color w:val="auto"/>
          <w:kern w:val="0"/>
          <w:sz w:val="32"/>
          <w:szCs w:val="32"/>
          <w:highlight w:val="none"/>
          <w:lang w:bidi="ar"/>
        </w:rPr>
      </w:pPr>
      <w:r>
        <w:rPr>
          <w:rFonts w:hint="eastAsia" w:ascii="Times New Roman" w:hAnsi="Times New Roman" w:cs="Times New Roman"/>
          <w:b/>
          <w:bCs/>
          <w:color w:val="auto"/>
          <w:kern w:val="0"/>
          <w:sz w:val="32"/>
          <w:szCs w:val="32"/>
          <w:highlight w:val="none"/>
          <w:lang w:val="en-US" w:eastAsia="zh-CN" w:bidi="ar"/>
        </w:rPr>
        <w:t>突破发展</w:t>
      </w:r>
      <w:r>
        <w:rPr>
          <w:rFonts w:hint="eastAsia" w:ascii="Times New Roman" w:hAnsi="Times New Roman" w:eastAsia="仿宋_GB2312" w:cs="Times New Roman"/>
          <w:b/>
          <w:bCs/>
          <w:color w:val="auto"/>
          <w:kern w:val="0"/>
          <w:sz w:val="32"/>
          <w:szCs w:val="32"/>
          <w:highlight w:val="none"/>
          <w:lang w:val="en-US" w:eastAsia="zh-CN" w:bidi="ar"/>
        </w:rPr>
        <w:t>农产品精深加工</w:t>
      </w:r>
      <w:r>
        <w:rPr>
          <w:rFonts w:hint="eastAsia" w:ascii="Times New Roman" w:hAnsi="Times New Roman" w:cs="Times New Roman"/>
          <w:b/>
          <w:bCs/>
          <w:color w:val="auto"/>
          <w:kern w:val="0"/>
          <w:sz w:val="32"/>
          <w:szCs w:val="32"/>
          <w:highlight w:val="none"/>
          <w:lang w:val="en-US" w:eastAsia="zh-CN" w:bidi="ar"/>
        </w:rPr>
        <w:t>。</w:t>
      </w:r>
      <w:r>
        <w:rPr>
          <w:rFonts w:ascii="Times New Roman" w:hAnsi="Times New Roman" w:cs="Times New Roman"/>
          <w:color w:val="auto"/>
          <w:kern w:val="0"/>
          <w:szCs w:val="32"/>
          <w:highlight w:val="none"/>
          <w:lang w:bidi="ar"/>
        </w:rPr>
        <w:t>加强合心香瓜、净珠葡萄、君子兰等特色农产品品牌建设，加快培育区属农业生产企业，重点推动肉牛全产业链深加工、农副产品综合利用，整合小、散农户等零散种植资源，强化品牌种植与标准化生产，依托优势特色农产品建立统一的质量标准与检测体系。推动农业与电商深度融合，加大营销推介力度，拓宽品牌营销渠道，实现从“种得好”向“卖得好”“卖得贵”转变，确保品牌质量、加强品牌推广、提升品牌价值。</w:t>
      </w:r>
    </w:p>
    <w:p>
      <w:pPr>
        <w:pStyle w:val="19"/>
        <w:pageBreakBefore w:val="0"/>
        <w:wordWrap/>
        <w:overflowPunct/>
        <w:autoSpaceDE/>
        <w:autoSpaceDN/>
        <w:bidi w:val="0"/>
        <w:spacing w:line="530" w:lineRule="exact"/>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cs="Times New Roman"/>
          <w:b/>
          <w:bCs/>
          <w:color w:val="auto"/>
          <w:kern w:val="0"/>
          <w:sz w:val="32"/>
          <w:szCs w:val="32"/>
          <w:highlight w:val="none"/>
          <w:lang w:val="en-US" w:eastAsia="zh-CN" w:bidi="ar"/>
        </w:rPr>
        <w:t>开拓发展</w:t>
      </w:r>
      <w:r>
        <w:rPr>
          <w:rFonts w:hint="eastAsia" w:ascii="Times New Roman" w:hAnsi="Times New Roman" w:eastAsia="仿宋_GB2312" w:cs="Times New Roman"/>
          <w:b/>
          <w:bCs/>
          <w:color w:val="auto"/>
          <w:kern w:val="0"/>
          <w:sz w:val="32"/>
          <w:szCs w:val="32"/>
          <w:highlight w:val="none"/>
          <w:lang w:val="en-US" w:eastAsia="zh-CN" w:bidi="ar"/>
        </w:rPr>
        <w:t>低空经济</w:t>
      </w:r>
      <w:r>
        <w:rPr>
          <w:rFonts w:hint="eastAsia" w:ascii="Times New Roman" w:hAnsi="Times New Roman" w:cs="Times New Roman"/>
          <w:b/>
          <w:bCs/>
          <w:color w:val="auto"/>
          <w:kern w:val="0"/>
          <w:sz w:val="32"/>
          <w:szCs w:val="32"/>
          <w:highlight w:val="none"/>
          <w:lang w:val="en-US" w:eastAsia="zh-CN" w:bidi="ar"/>
        </w:rPr>
        <w:t>场景。</w:t>
      </w:r>
      <w:r>
        <w:rPr>
          <w:rFonts w:hint="eastAsia" w:ascii="Times New Roman" w:hAnsi="Times New Roman" w:cs="Times New Roman"/>
          <w:b w:val="0"/>
          <w:bCs w:val="0"/>
          <w:color w:val="auto"/>
          <w:kern w:val="0"/>
          <w:sz w:val="32"/>
          <w:szCs w:val="32"/>
          <w:highlight w:val="none"/>
          <w:lang w:bidi="ar"/>
        </w:rPr>
        <w:t>紧抓低空经济发展战略机遇，依托航</w:t>
      </w:r>
      <w:r>
        <w:rPr>
          <w:rFonts w:hint="eastAsia" w:ascii="Times New Roman" w:hAnsi="Times New Roman" w:cs="Times New Roman"/>
          <w:b w:val="0"/>
          <w:bCs w:val="0"/>
          <w:color w:val="auto"/>
          <w:kern w:val="0"/>
          <w:sz w:val="32"/>
          <w:szCs w:val="32"/>
          <w:highlight w:val="none"/>
          <w:lang w:eastAsia="zh-CN" w:bidi="ar"/>
        </w:rPr>
        <w:t>博</w:t>
      </w:r>
      <w:r>
        <w:rPr>
          <w:rFonts w:hint="eastAsia" w:ascii="Times New Roman" w:hAnsi="Times New Roman" w:cs="Times New Roman"/>
          <w:b w:val="0"/>
          <w:bCs w:val="0"/>
          <w:color w:val="auto"/>
          <w:kern w:val="0"/>
          <w:sz w:val="32"/>
          <w:szCs w:val="32"/>
          <w:highlight w:val="none"/>
          <w:lang w:bidi="ar"/>
        </w:rPr>
        <w:t>城产业基础与空域资源，</w:t>
      </w:r>
      <w:r>
        <w:rPr>
          <w:rFonts w:hint="eastAsia" w:ascii="Times New Roman" w:hAnsi="Times New Roman" w:cs="Times New Roman"/>
          <w:color w:val="auto"/>
          <w:kern w:val="0"/>
          <w:sz w:val="32"/>
          <w:szCs w:val="32"/>
          <w:highlight w:val="none"/>
          <w:lang w:bidi="ar"/>
        </w:rPr>
        <w:t>围绕“研发+制造+服务+应用”四大领域，打造大航空IP矩阵，竞逐低空经济产业新赛道。</w:t>
      </w:r>
      <w:r>
        <w:rPr>
          <w:rFonts w:hint="eastAsia" w:ascii="Times New Roman" w:hAnsi="Times New Roman" w:cs="Times New Roman"/>
          <w:color w:val="auto"/>
          <w:kern w:val="0"/>
          <w:sz w:val="32"/>
          <w:szCs w:val="32"/>
          <w:highlight w:val="none"/>
          <w:lang w:val="en-US" w:eastAsia="zh-CN" w:bidi="ar"/>
        </w:rPr>
        <w:t>依托</w:t>
      </w:r>
      <w:r>
        <w:rPr>
          <w:rFonts w:hint="eastAsia" w:ascii="仿宋" w:hAnsi="仿宋" w:eastAsia="仿宋" w:cs="仿宋"/>
          <w:b w:val="0"/>
          <w:bCs w:val="0"/>
          <w:color w:val="auto"/>
          <w:kern w:val="0"/>
          <w:sz w:val="32"/>
          <w:szCs w:val="32"/>
          <w:highlight w:val="none"/>
          <w:lang w:val="en-US" w:eastAsia="zh-CN" w:bidi="ar"/>
        </w:rPr>
        <w:t>低空制造、低空飞行、低空保障以及综合服务四大发展方向</w:t>
      </w:r>
      <w:r>
        <w:rPr>
          <w:rFonts w:hint="eastAsia" w:ascii="Times New Roman" w:hAnsi="Times New Roman" w:cs="Times New Roman"/>
          <w:b w:val="0"/>
          <w:bCs w:val="0"/>
          <w:color w:val="auto"/>
          <w:kern w:val="0"/>
          <w:sz w:val="32"/>
          <w:szCs w:val="32"/>
          <w:highlight w:val="none"/>
          <w:lang w:val="en-US" w:eastAsia="zh-CN" w:bidi="ar"/>
        </w:rPr>
        <w:t>，</w:t>
      </w:r>
      <w:r>
        <w:rPr>
          <w:rFonts w:hint="eastAsia" w:ascii="Times New Roman" w:hAnsi="Times New Roman" w:cs="Times New Roman"/>
          <w:color w:val="auto"/>
          <w:kern w:val="0"/>
          <w:sz w:val="32"/>
          <w:szCs w:val="32"/>
          <w:highlight w:val="none"/>
          <w:lang w:bidi="ar"/>
        </w:rPr>
        <w:t>拓展低空飞行在物流配送、农林作业、应急救援等场景的应用。积极储备空天经济优质项目，培育引进低空飞行器研发制造、维修保养等骨干企业，搭建飞行服务保障体系。探索低空经济创新发展路径，推动与文旅产业</w:t>
      </w:r>
      <w:r>
        <w:rPr>
          <w:rFonts w:hint="eastAsia" w:ascii="Times New Roman" w:hAnsi="Times New Roman" w:cs="Times New Roman"/>
          <w:color w:val="auto"/>
          <w:kern w:val="0"/>
          <w:sz w:val="32"/>
          <w:szCs w:val="32"/>
          <w:highlight w:val="none"/>
          <w:lang w:val="en-US" w:eastAsia="zh-CN" w:bidi="ar"/>
        </w:rPr>
        <w:t>深度</w:t>
      </w:r>
      <w:r>
        <w:rPr>
          <w:rFonts w:hint="eastAsia" w:ascii="Times New Roman" w:hAnsi="Times New Roman" w:cs="Times New Roman"/>
          <w:color w:val="auto"/>
          <w:kern w:val="0"/>
          <w:sz w:val="32"/>
          <w:szCs w:val="32"/>
          <w:highlight w:val="none"/>
          <w:lang w:bidi="ar"/>
        </w:rPr>
        <w:t>融合，全力打造全国航空文化旅游目的地</w:t>
      </w:r>
      <w:r>
        <w:rPr>
          <w:rFonts w:hint="eastAsia" w:ascii="Times New Roman" w:hAnsi="Times New Roman" w:cs="Times New Roman"/>
          <w:color w:val="auto"/>
          <w:kern w:val="0"/>
          <w:sz w:val="32"/>
          <w:szCs w:val="32"/>
          <w:highlight w:val="none"/>
          <w:lang w:eastAsia="zh-CN" w:bidi="ar"/>
        </w:rPr>
        <w:t>。</w:t>
      </w:r>
    </w:p>
    <w:p>
      <w:pPr>
        <w:pStyle w:val="19"/>
        <w:pageBreakBefore w:val="0"/>
        <w:wordWrap/>
        <w:overflowPunct/>
        <w:autoSpaceDE/>
        <w:autoSpaceDN/>
        <w:bidi w:val="0"/>
        <w:spacing w:line="530" w:lineRule="exact"/>
        <w:rPr>
          <w:rFonts w:hint="eastAsia" w:ascii="Times New Roman" w:hAnsi="Times New Roman" w:eastAsia="仿宋_GB2312" w:cs="Times New Roman"/>
          <w:b/>
          <w:bCs/>
          <w:color w:val="auto"/>
          <w:kern w:val="0"/>
          <w:sz w:val="32"/>
          <w:szCs w:val="32"/>
          <w:highlight w:val="none"/>
          <w:lang w:val="en-US" w:eastAsia="zh-CN" w:bidi="ar"/>
        </w:rPr>
      </w:pPr>
      <w:r>
        <w:rPr>
          <w:rFonts w:ascii="Times New Roman" w:hAnsi="Times New Roman" w:cs="Times New Roman"/>
          <w:b/>
          <w:bCs/>
          <w:color w:val="auto"/>
          <w:kern w:val="0"/>
          <w:szCs w:val="32"/>
          <w:highlight w:val="none"/>
          <w:lang w:bidi="ar"/>
        </w:rPr>
        <w:t>协同发展新材料与新能源。</w:t>
      </w:r>
      <w:r>
        <w:rPr>
          <w:rFonts w:ascii="Times New Roman" w:hAnsi="Times New Roman" w:cs="Times New Roman"/>
          <w:color w:val="auto"/>
          <w:kern w:val="0"/>
          <w:szCs w:val="32"/>
          <w:highlight w:val="none"/>
          <w:lang w:bidi="ar"/>
        </w:rPr>
        <w:t>依托中车长客、中研高分子、中鼎新能源等龙头企业技术积淀，重点攻关前沿新材料与氢能储能领域技术。聚焦轨道交通、汽车制造等应用场景，推动新材料产业化落地，聚焦“绿电+绿氢+装备制造”全产业链发展。推进新能源与多产业协同发展，推动新能源与传统产业协同优化升级，促进新能源与新兴产业融合互促发展，持续提升新能源的自主性和市场竞争力。强化产学研协同，突破关键技术瓶颈，构建新能源与新材料协同发展的产业格局，夯实区域产业升级的物质与能源基础。</w:t>
      </w:r>
    </w:p>
    <w:p>
      <w:pPr>
        <w:pStyle w:val="19"/>
        <w:pageBreakBefore w:val="0"/>
        <w:wordWrap/>
        <w:overflowPunct/>
        <w:autoSpaceDE/>
        <w:autoSpaceDN/>
        <w:bidi w:val="0"/>
        <w:spacing w:line="530" w:lineRule="exact"/>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cs="Times New Roman"/>
          <w:b/>
          <w:bCs/>
          <w:color w:val="auto"/>
          <w:kern w:val="0"/>
          <w:szCs w:val="32"/>
          <w:highlight w:val="none"/>
          <w:lang w:bidi="ar"/>
        </w:rPr>
        <w:t>深入推动商旅消费发展。</w:t>
      </w:r>
      <w:r>
        <w:rPr>
          <w:rFonts w:hint="eastAsia" w:ascii="Times New Roman" w:hAnsi="Times New Roman" w:cs="Times New Roman"/>
          <w:b w:val="0"/>
          <w:bCs w:val="0"/>
          <w:color w:val="auto"/>
          <w:kern w:val="0"/>
          <w:szCs w:val="32"/>
          <w:highlight w:val="none"/>
          <w:lang w:bidi="ar"/>
        </w:rPr>
        <w:t>优化文旅产品供给，通过培育“文旅+”新业态，打造体验式新场景，开发具有独特文化IP的文旅新产品，突破传统文旅发展模式，全面提升文旅体验的附加值。充分激发游客消费潜力，针对目标客群需求，定制差异化、个性化的文旅产品。依托新媒体矩阵开展故事化、互动化营销，打造网红打卡点与周期性活动热点。推动文旅与农业、商业、康养等本地特色产业深度融合，以旅游流量带动在地消费，形成“体验</w:t>
      </w:r>
      <w:r>
        <w:rPr>
          <w:rFonts w:hint="eastAsia" w:ascii="Times New Roman" w:hAnsi="Times New Roman" w:cs="Times New Roman"/>
          <w:b w:val="0"/>
          <w:bCs w:val="0"/>
          <w:color w:val="auto"/>
          <w:kern w:val="0"/>
          <w:szCs w:val="32"/>
          <w:highlight w:val="none"/>
          <w:lang w:eastAsia="zh-CN" w:bidi="ar"/>
        </w:rPr>
        <w:t>―</w:t>
      </w:r>
      <w:r>
        <w:rPr>
          <w:rFonts w:hint="eastAsia" w:ascii="Times New Roman" w:hAnsi="Times New Roman" w:cs="Times New Roman"/>
          <w:b w:val="0"/>
          <w:bCs w:val="0"/>
          <w:color w:val="auto"/>
          <w:kern w:val="0"/>
          <w:szCs w:val="32"/>
          <w:highlight w:val="none"/>
          <w:lang w:bidi="ar"/>
        </w:rPr>
        <w:t>消费</w:t>
      </w:r>
      <w:r>
        <w:rPr>
          <w:rFonts w:hint="eastAsia" w:ascii="Times New Roman" w:hAnsi="Times New Roman" w:cs="Times New Roman"/>
          <w:b w:val="0"/>
          <w:bCs w:val="0"/>
          <w:color w:val="auto"/>
          <w:kern w:val="0"/>
          <w:szCs w:val="32"/>
          <w:highlight w:val="none"/>
          <w:lang w:eastAsia="zh-CN" w:bidi="ar"/>
        </w:rPr>
        <w:t>―</w:t>
      </w:r>
      <w:r>
        <w:rPr>
          <w:rFonts w:hint="eastAsia" w:ascii="Times New Roman" w:hAnsi="Times New Roman" w:cs="Times New Roman"/>
          <w:b w:val="0"/>
          <w:bCs w:val="0"/>
          <w:color w:val="auto"/>
          <w:kern w:val="0"/>
          <w:szCs w:val="32"/>
          <w:highlight w:val="none"/>
          <w:lang w:bidi="ar"/>
        </w:rPr>
        <w:t>生产”的良性循环，为区域消费提升注入持久动能。</w:t>
      </w:r>
    </w:p>
    <w:p>
      <w:pPr>
        <w:pStyle w:val="19"/>
        <w:pageBreakBefore w:val="0"/>
        <w:wordWrap/>
        <w:overflowPunct/>
        <w:autoSpaceDE/>
        <w:autoSpaceDN/>
        <w:bidi w:val="0"/>
        <w:spacing w:line="530" w:lineRule="exact"/>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cs="Times New Roman"/>
          <w:b/>
          <w:bCs/>
          <w:color w:val="auto"/>
          <w:kern w:val="0"/>
          <w:sz w:val="32"/>
          <w:szCs w:val="32"/>
          <w:highlight w:val="none"/>
          <w:lang w:val="en-US" w:eastAsia="zh-CN" w:bidi="ar"/>
        </w:rPr>
        <w:t>加快发展</w:t>
      </w:r>
      <w:r>
        <w:rPr>
          <w:rFonts w:hint="eastAsia" w:ascii="Times New Roman" w:hAnsi="Times New Roman" w:eastAsia="仿宋_GB2312" w:cs="Times New Roman"/>
          <w:b/>
          <w:bCs/>
          <w:color w:val="auto"/>
          <w:kern w:val="0"/>
          <w:sz w:val="32"/>
          <w:szCs w:val="32"/>
          <w:highlight w:val="none"/>
          <w:lang w:val="en-US" w:eastAsia="zh-CN" w:bidi="ar"/>
        </w:rPr>
        <w:t>知识密集型服务业</w:t>
      </w:r>
      <w:r>
        <w:rPr>
          <w:rFonts w:hint="eastAsia" w:ascii="Times New Roman" w:hAnsi="Times New Roman" w:cs="Times New Roman"/>
          <w:b/>
          <w:bCs/>
          <w:color w:val="auto"/>
          <w:kern w:val="0"/>
          <w:sz w:val="32"/>
          <w:szCs w:val="32"/>
          <w:highlight w:val="none"/>
          <w:lang w:val="en-US" w:eastAsia="zh-CN" w:bidi="ar"/>
        </w:rPr>
        <w:t>。</w:t>
      </w:r>
      <w:r>
        <w:rPr>
          <w:rFonts w:hint="eastAsia" w:ascii="Times New Roman" w:hAnsi="Times New Roman" w:cs="Times New Roman"/>
          <w:color w:val="auto"/>
          <w:kern w:val="0"/>
          <w:sz w:val="32"/>
          <w:szCs w:val="32"/>
          <w:highlight w:val="none"/>
          <w:lang w:bidi="ar"/>
        </w:rPr>
        <w:t>依托两车配套、航空等主导产业，集聚长客轨道、彬生蓝航等企业，重点发展科研和专业技术服务、数字化信息化服务及现代金融</w:t>
      </w:r>
      <w:r>
        <w:rPr>
          <w:rFonts w:hint="eastAsia" w:ascii="Times New Roman" w:hAnsi="Times New Roman" w:eastAsia="仿宋_GB2312" w:cs="Times New Roman"/>
          <w:b w:val="0"/>
          <w:bCs w:val="0"/>
          <w:color w:val="auto"/>
          <w:kern w:val="0"/>
          <w:sz w:val="32"/>
          <w:szCs w:val="32"/>
          <w:highlight w:val="none"/>
          <w:lang w:val="en-US" w:eastAsia="zh-CN" w:bidi="ar"/>
        </w:rPr>
        <w:t>等知识资本密集型服务</w:t>
      </w:r>
      <w:r>
        <w:rPr>
          <w:rFonts w:hint="eastAsia" w:ascii="Times New Roman" w:hAnsi="Times New Roman" w:cs="Times New Roman"/>
          <w:b w:val="0"/>
          <w:bCs w:val="0"/>
          <w:color w:val="auto"/>
          <w:kern w:val="0"/>
          <w:sz w:val="32"/>
          <w:szCs w:val="32"/>
          <w:highlight w:val="none"/>
          <w:lang w:val="en-US" w:eastAsia="zh-CN" w:bidi="ar"/>
        </w:rPr>
        <w:t>，</w:t>
      </w:r>
      <w:r>
        <w:rPr>
          <w:rFonts w:hint="eastAsia" w:ascii="Times New Roman" w:hAnsi="Times New Roman" w:cs="Times New Roman"/>
          <w:color w:val="auto"/>
          <w:kern w:val="0"/>
          <w:sz w:val="32"/>
          <w:szCs w:val="32"/>
          <w:highlight w:val="none"/>
          <w:lang w:bidi="ar"/>
        </w:rPr>
        <w:t>补齐服务业空白行业及基础薄弱领域。推进知识产权服务业集聚区建设，依托长春市国家级知识产权保护中心，提供专利快速审查、维权等全链条服务。搭建科技成果转移转化平台，开展项目路演、合作对接等活动，推动制造业与服务业深度融合，提升生产性服务业对实体经济的支撑力。</w:t>
      </w:r>
    </w:p>
    <w:p>
      <w:pPr>
        <w:pStyle w:val="19"/>
        <w:pageBreakBefore w:val="0"/>
        <w:wordWrap/>
        <w:overflowPunct/>
        <w:autoSpaceDE/>
        <w:autoSpaceDN/>
        <w:bidi w:val="0"/>
        <w:spacing w:line="530" w:lineRule="exact"/>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cs="Times New Roman"/>
          <w:b/>
          <w:bCs/>
          <w:color w:val="auto"/>
          <w:kern w:val="0"/>
          <w:sz w:val="32"/>
          <w:szCs w:val="32"/>
          <w:highlight w:val="none"/>
          <w:lang w:val="en-US" w:eastAsia="zh-CN" w:bidi="ar"/>
        </w:rPr>
        <w:t>深化发展</w:t>
      </w:r>
      <w:r>
        <w:rPr>
          <w:rFonts w:hint="eastAsia" w:ascii="Times New Roman" w:hAnsi="Times New Roman" w:eastAsia="仿宋_GB2312" w:cs="Times New Roman"/>
          <w:b/>
          <w:bCs/>
          <w:color w:val="auto"/>
          <w:kern w:val="0"/>
          <w:sz w:val="32"/>
          <w:szCs w:val="32"/>
          <w:highlight w:val="none"/>
          <w:lang w:val="en-US" w:eastAsia="zh-CN" w:bidi="ar"/>
        </w:rPr>
        <w:t>生态康养</w:t>
      </w:r>
      <w:r>
        <w:rPr>
          <w:rFonts w:hint="eastAsia" w:ascii="Times New Roman" w:hAnsi="Times New Roman" w:cs="Times New Roman"/>
          <w:b/>
          <w:bCs/>
          <w:color w:val="auto"/>
          <w:kern w:val="0"/>
          <w:sz w:val="32"/>
          <w:szCs w:val="32"/>
          <w:highlight w:val="none"/>
          <w:lang w:val="en-US" w:eastAsia="zh-CN" w:bidi="ar"/>
        </w:rPr>
        <w:t>。</w:t>
      </w:r>
      <w:r>
        <w:rPr>
          <w:rFonts w:hint="eastAsia" w:ascii="Times New Roman" w:hAnsi="Times New Roman" w:cs="Times New Roman"/>
          <w:color w:val="auto"/>
          <w:kern w:val="0"/>
          <w:sz w:val="32"/>
          <w:szCs w:val="32"/>
          <w:highlight w:val="none"/>
          <w:lang w:bidi="ar"/>
        </w:rPr>
        <w:t>依托域内优质的自然生态优势及雁鸣湖康养片区，以中高端养生、养老产业为核心，打造集生态旅居、健康养生、养老服务和旅游度假于一体的高端康养社区。构建以居家为基础、社区为依托、机构为补充的多层次养老服务体系，建设老年公寓、康复医疗区等功能区域</w:t>
      </w:r>
      <w:r>
        <w:rPr>
          <w:rFonts w:hint="eastAsia" w:ascii="Times New Roman" w:hAnsi="Times New Roman" w:cs="Times New Roman"/>
          <w:color w:val="auto"/>
          <w:kern w:val="0"/>
          <w:sz w:val="32"/>
          <w:szCs w:val="32"/>
          <w:highlight w:val="none"/>
          <w:lang w:eastAsia="zh-CN" w:bidi="ar"/>
        </w:rPr>
        <w:t>，</w:t>
      </w:r>
      <w:r>
        <w:rPr>
          <w:rFonts w:hint="eastAsia" w:ascii="Times New Roman" w:hAnsi="Times New Roman" w:cs="Times New Roman"/>
          <w:color w:val="auto"/>
          <w:kern w:val="0"/>
          <w:sz w:val="32"/>
          <w:szCs w:val="32"/>
          <w:highlight w:val="none"/>
          <w:lang w:bidi="ar"/>
        </w:rPr>
        <w:t>发展老年用品、智慧养老等银发经济。完成雁鸣湖水系治理，</w:t>
      </w:r>
      <w:r>
        <w:rPr>
          <w:rFonts w:hint="eastAsia" w:ascii="Times New Roman" w:hAnsi="Times New Roman" w:cs="Times New Roman"/>
          <w:color w:val="auto"/>
          <w:kern w:val="0"/>
          <w:sz w:val="32"/>
          <w:szCs w:val="32"/>
          <w:highlight w:val="none"/>
          <w:lang w:val="en-US" w:eastAsia="zh-CN" w:bidi="ar"/>
        </w:rPr>
        <w:t>推动</w:t>
      </w:r>
      <w:r>
        <w:rPr>
          <w:rFonts w:hint="eastAsia" w:ascii="Times New Roman" w:hAnsi="Times New Roman" w:cs="Times New Roman"/>
          <w:color w:val="auto"/>
          <w:kern w:val="0"/>
          <w:sz w:val="32"/>
          <w:szCs w:val="32"/>
          <w:highlight w:val="none"/>
          <w:lang w:bidi="ar"/>
        </w:rPr>
        <w:t>生态资源与康养、旅游、文化、体育产业深度融合</w:t>
      </w:r>
      <w:r>
        <w:rPr>
          <w:rFonts w:hint="eastAsia" w:ascii="Times New Roman" w:hAnsi="Times New Roman" w:cs="Times New Roman"/>
          <w:color w:val="auto"/>
          <w:kern w:val="0"/>
          <w:sz w:val="32"/>
          <w:szCs w:val="32"/>
          <w:highlight w:val="none"/>
          <w:lang w:eastAsia="zh-CN" w:bidi="ar"/>
        </w:rPr>
        <w:t>，</w:t>
      </w:r>
      <w:r>
        <w:rPr>
          <w:rFonts w:hint="eastAsia" w:ascii="Times New Roman" w:hAnsi="Times New Roman" w:cs="Times New Roman"/>
          <w:color w:val="auto"/>
          <w:kern w:val="0"/>
          <w:sz w:val="32"/>
          <w:szCs w:val="32"/>
          <w:highlight w:val="none"/>
          <w:lang w:bidi="ar"/>
        </w:rPr>
        <w:t>完善商业、文化休闲等配套设施，满足老年人多元需求</w:t>
      </w:r>
      <w:r>
        <w:rPr>
          <w:rFonts w:hint="eastAsia" w:ascii="Times New Roman" w:hAnsi="Times New Roman" w:cs="Times New Roman"/>
          <w:color w:val="auto"/>
          <w:kern w:val="0"/>
          <w:sz w:val="32"/>
          <w:szCs w:val="32"/>
          <w:highlight w:val="none"/>
          <w:lang w:eastAsia="zh-CN" w:bidi="ar"/>
        </w:rPr>
        <w:t>，</w:t>
      </w:r>
      <w:r>
        <w:rPr>
          <w:rFonts w:hint="eastAsia" w:ascii="Times New Roman" w:hAnsi="Times New Roman" w:cs="Times New Roman"/>
          <w:color w:val="auto"/>
          <w:kern w:val="0"/>
          <w:sz w:val="32"/>
          <w:szCs w:val="32"/>
          <w:highlight w:val="none"/>
          <w:lang w:bidi="ar"/>
        </w:rPr>
        <w:t>打造服务本地、辐射周边的生态康养目的地与宜居宜业</w:t>
      </w:r>
      <w:r>
        <w:rPr>
          <w:rFonts w:hint="eastAsia" w:cs="Times New Roman"/>
          <w:color w:val="auto"/>
          <w:kern w:val="0"/>
          <w:sz w:val="32"/>
          <w:szCs w:val="32"/>
          <w:highlight w:val="none"/>
          <w:lang w:eastAsia="zh-CN" w:bidi="ar"/>
        </w:rPr>
        <w:t>样板</w:t>
      </w:r>
      <w:r>
        <w:rPr>
          <w:rFonts w:hint="eastAsia" w:ascii="Times New Roman" w:hAnsi="Times New Roman" w:cs="Times New Roman"/>
          <w:color w:val="auto"/>
          <w:kern w:val="0"/>
          <w:sz w:val="32"/>
          <w:szCs w:val="32"/>
          <w:highlight w:val="none"/>
          <w:lang w:bidi="ar"/>
        </w:rPr>
        <w:t>区。</w:t>
      </w:r>
    </w:p>
    <w:tbl>
      <w:tblPr>
        <w:tblStyle w:val="21"/>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8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jc w:val="center"/>
        </w:trPr>
        <w:tc>
          <w:tcPr>
            <w:tcW w:w="8844"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 xml:space="preserve">专栏 </w:t>
            </w:r>
            <w:r>
              <w:rPr>
                <w:rFonts w:hint="eastAsia" w:ascii="Times New Roman" w:hAnsi="Times New Roman"/>
                <w:b w:val="0"/>
                <w:i w:val="0"/>
                <w:color w:val="auto"/>
                <w:highlight w:val="none"/>
                <w:lang w:val="en-US" w:eastAsia="zh-CN"/>
              </w:rPr>
              <w:t>3</w:t>
            </w:r>
            <w:r>
              <w:rPr>
                <w:color w:val="auto"/>
                <w:highlight w:val="none"/>
              </w:rPr>
              <w:t>促进科技创新与产业创新深度融合建设重点项目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jc w:val="center"/>
        </w:trPr>
        <w:tc>
          <w:tcPr>
            <w:tcW w:w="8844" w:type="dxa"/>
            <w:shd w:val="clear" w:color="auto" w:fill="auto"/>
            <w:vAlign w:val="top"/>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color w:val="auto"/>
                <w:highlight w:val="none"/>
              </w:rPr>
              <w:t>.科技创新实体建设重点项目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color w:val="auto"/>
                <w:highlight w:val="none"/>
              </w:rPr>
              <w:t>重点推进瞪羚独角兽企业种子库建设工程</w:t>
            </w:r>
            <w:r>
              <w:rPr>
                <w:rFonts w:hint="eastAsia"/>
                <w:color w:val="auto"/>
                <w:highlight w:val="none"/>
              </w:rPr>
              <w:t>、轨道客车极端复杂环境实验室、中车长客氢能源列车、智能运维、轻量化材料等关键核心技术攻关</w:t>
            </w:r>
            <w:r>
              <w:rPr>
                <w:color w:val="auto"/>
                <w:highlight w:val="none"/>
              </w:rPr>
              <w:t>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2</w:t>
            </w:r>
            <w:r>
              <w:rPr>
                <w:color w:val="auto"/>
                <w:highlight w:val="none"/>
              </w:rPr>
              <w:t>.</w:t>
            </w:r>
            <w:r>
              <w:rPr>
                <w:rFonts w:hint="eastAsia"/>
                <w:color w:val="auto"/>
                <w:highlight w:val="none"/>
              </w:rPr>
              <w:t>农畜产品现代化产业</w:t>
            </w:r>
            <w:r>
              <w:rPr>
                <w:color w:val="auto"/>
                <w:highlight w:val="none"/>
              </w:rPr>
              <w:t>重点项目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rFonts w:hint="eastAsia" w:cs="楷体_GB2312"/>
                <w:color w:val="auto"/>
                <w:highlight w:val="none"/>
              </w:rPr>
              <w:t>重点推进皓月生产加工中心“智改数转”项目、皓月现代化线上线下牛羊交易升级项目、皓月高端营养型有机饲料转型升级项目、皓月肉牛示范及合作养殖项目、皓月现代化熟食预制菜数智化工厂项目、国</w:t>
            </w:r>
            <w:r>
              <w:rPr>
                <w:rFonts w:hint="eastAsia" w:ascii="楷体_GB2312" w:hAnsi="楷体_GB2312" w:eastAsia="楷体_GB2312" w:cs="楷体_GB2312"/>
                <w:color w:val="auto"/>
                <w:highlight w:val="none"/>
              </w:rPr>
              <w:t>沄</w:t>
            </w:r>
            <w:r>
              <w:rPr>
                <w:rFonts w:hint="eastAsia" w:cs="楷体_GB2312"/>
                <w:color w:val="auto"/>
                <w:highlight w:val="none"/>
              </w:rPr>
              <w:t>树莓产业基地项目、吉林同创数字化育苗工厂项目、油莎豆油生产及饲料加工项目等。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3</w:t>
            </w:r>
            <w:r>
              <w:rPr>
                <w:color w:val="auto"/>
                <w:highlight w:val="none"/>
              </w:rPr>
              <w:t>.</w:t>
            </w:r>
            <w:r>
              <w:rPr>
                <w:rFonts w:hint="eastAsia"/>
                <w:color w:val="auto"/>
                <w:highlight w:val="none"/>
              </w:rPr>
              <w:t>高端装备及先进制造产业</w:t>
            </w:r>
            <w:r>
              <w:rPr>
                <w:color w:val="auto"/>
                <w:highlight w:val="none"/>
              </w:rPr>
              <w:t>重点项目</w:t>
            </w:r>
          </w:p>
          <w:p>
            <w:pPr>
              <w:pStyle w:val="23"/>
              <w:keepNext w:val="0"/>
              <w:keepLines w:val="0"/>
              <w:pageBreakBefore w:val="0"/>
              <w:widowControl w:val="0"/>
              <w:wordWrap/>
              <w:overflowPunct/>
              <w:topLinePunct w:val="0"/>
              <w:autoSpaceDE/>
              <w:autoSpaceDN/>
              <w:bidi w:val="0"/>
              <w:spacing w:line="300" w:lineRule="exact"/>
              <w:rPr>
                <w:rFonts w:hint="eastAsia" w:cs="楷体_GB2312"/>
                <w:color w:val="auto"/>
                <w:highlight w:val="none"/>
              </w:rPr>
            </w:pPr>
            <w:r>
              <w:rPr>
                <w:rFonts w:hint="eastAsia" w:cs="楷体_GB2312"/>
                <w:color w:val="auto"/>
                <w:highlight w:val="none"/>
              </w:rPr>
              <w:t>重点推进意大利玛斯特旭阳皓月皮革座椅项目、长春汽车改装公司异地搬迁改装项目、长春市富</w:t>
            </w:r>
            <w:r>
              <w:rPr>
                <w:rFonts w:hint="eastAsia" w:ascii="楷体_GB2312" w:hAnsi="楷体_GB2312" w:eastAsia="楷体_GB2312" w:cs="楷体_GB2312"/>
                <w:color w:val="auto"/>
                <w:highlight w:val="none"/>
              </w:rPr>
              <w:t>樋</w:t>
            </w:r>
            <w:r>
              <w:rPr>
                <w:rFonts w:hint="eastAsia" w:cs="楷体_GB2312"/>
                <w:color w:val="auto"/>
                <w:highlight w:val="none"/>
              </w:rPr>
              <w:t>工业园机械加工项目、科英轨道交通车辆配套产品产业化项目、中车长客车体涂装产线升级改造建设项目、万华生产汽车冲压配套三期项目、中车长客转向架焊接产线老旧设备更新建设项目、汽车用电器开关、传感器及机械加工智能数字化项目、中科柏林年产</w:t>
            </w:r>
            <w:r>
              <w:rPr>
                <w:rFonts w:hint="eastAsia" w:ascii="楷体_GB2312" w:hAnsi="楷体_GB2312" w:cs="楷体_GB2312"/>
                <w:b w:val="0"/>
                <w:i w:val="0"/>
                <w:color w:val="auto"/>
                <w:highlight w:val="none"/>
              </w:rPr>
              <w:t>30</w:t>
            </w:r>
            <w:r>
              <w:rPr>
                <w:rFonts w:hint="eastAsia" w:cs="楷体_GB2312"/>
                <w:color w:val="auto"/>
                <w:highlight w:val="none"/>
              </w:rPr>
              <w:t>万套新能源汽车零部件建设项目、中车长客面向产品全寿命周期业务协同管理项目等。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4</w:t>
            </w:r>
            <w:r>
              <w:rPr>
                <w:color w:val="auto"/>
                <w:highlight w:val="none"/>
              </w:rPr>
              <w:t>.</w:t>
            </w:r>
            <w:r>
              <w:rPr>
                <w:rFonts w:hint="eastAsia"/>
                <w:color w:val="auto"/>
                <w:highlight w:val="none"/>
              </w:rPr>
              <w:t>生产性服务业</w:t>
            </w:r>
            <w:r>
              <w:rPr>
                <w:color w:val="auto"/>
                <w:highlight w:val="none"/>
              </w:rPr>
              <w:t>重点项目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color w:val="auto"/>
                <w:highlight w:val="none"/>
              </w:rPr>
              <w:t>重点推进</w:t>
            </w:r>
            <w:r>
              <w:rPr>
                <w:rFonts w:hint="eastAsia" w:ascii="Times New Roman" w:hAnsi="Times New Roman"/>
                <w:color w:val="auto"/>
                <w:highlight w:val="none"/>
                <w:lang w:bidi="ar"/>
              </w:rPr>
              <w:t>长春轨道“城轨医院”智能运维项目</w:t>
            </w:r>
            <w:r>
              <w:rPr>
                <w:color w:val="auto"/>
                <w:highlight w:val="none"/>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5</w:t>
            </w:r>
            <w:r>
              <w:rPr>
                <w:color w:val="auto"/>
                <w:highlight w:val="none"/>
              </w:rPr>
              <w:t>.</w:t>
            </w:r>
            <w:r>
              <w:rPr>
                <w:rFonts w:hint="eastAsia"/>
                <w:color w:val="auto"/>
                <w:highlight w:val="none"/>
              </w:rPr>
              <w:t>文商旅融合产业重点</w:t>
            </w:r>
            <w:r>
              <w:rPr>
                <w:color w:val="auto"/>
                <w:highlight w:val="none"/>
              </w:rPr>
              <w:t>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rFonts w:hint="eastAsia" w:ascii="Times New Roman" w:hAnsi="Times New Roman"/>
                <w:color w:val="auto"/>
                <w:highlight w:val="none"/>
                <w:lang w:bidi="ar"/>
              </w:rPr>
              <w:t>重点推进青怡坊国际旅游文创产业园、皓月欢乐荟文旅项目、未来航天城项目、科技文化产业园“area领域”项目等</w:t>
            </w:r>
            <w:r>
              <w:rPr>
                <w:color w:val="auto"/>
                <w:highlight w:val="none"/>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6</w:t>
            </w:r>
            <w:r>
              <w:rPr>
                <w:color w:val="auto"/>
                <w:highlight w:val="none"/>
              </w:rPr>
              <w:t>.</w:t>
            </w:r>
            <w:r>
              <w:rPr>
                <w:rFonts w:hint="eastAsia"/>
                <w:color w:val="auto"/>
                <w:highlight w:val="none"/>
              </w:rPr>
              <w:t>七赛道重点项目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rFonts w:hint="eastAsia"/>
                <w:color w:val="auto"/>
                <w:highlight w:val="none"/>
              </w:rPr>
              <w:t>重点推进信创环境下的AI智慧大脑建设项目、轨道车辆构架加工智能柔性线建设项目、长客氢能试验平台一期建设项目、海吉星农批市场新建（二期）项目、欧亚物流配送中心升级改造及骨干市场设施设备升级、牛羊生物医疗医美大健康项目、国药药材大健康产业园项目、皓月民族康养绿洲项目等。</w:t>
            </w:r>
          </w:p>
          <w:p>
            <w:pPr>
              <w:keepNext w:val="0"/>
              <w:keepLines w:val="0"/>
              <w:pageBreakBefore w:val="0"/>
              <w:widowControl w:val="0"/>
              <w:wordWrap/>
              <w:overflowPunct/>
              <w:topLinePunct w:val="0"/>
              <w:autoSpaceDE/>
              <w:autoSpaceDN/>
              <w:bidi w:val="0"/>
              <w:spacing w:line="300" w:lineRule="exact"/>
              <w:ind w:firstLine="0" w:firstLineChars="0"/>
              <w:jc w:val="left"/>
              <w:rPr>
                <w:rFonts w:hint="eastAsia" w:asciiTheme="minorHAnsi" w:hAnsiTheme="minorHAnsi" w:eastAsiaTheme="minorEastAsia" w:cstheme="minorBidi"/>
                <w:color w:val="auto"/>
                <w:kern w:val="2"/>
                <w:sz w:val="21"/>
                <w:szCs w:val="24"/>
                <w:highlight w:val="none"/>
                <w:lang w:val="en-US" w:eastAsia="zh-CN" w:bidi="ar-SA"/>
              </w:rPr>
            </w:pPr>
          </w:p>
        </w:tc>
      </w:tr>
    </w:tbl>
    <w:p>
      <w:pPr>
        <w:pStyle w:val="2"/>
        <w:pageBreakBefore w:val="0"/>
        <w:wordWrap/>
        <w:overflowPunct/>
        <w:autoSpaceDE/>
        <w:autoSpaceDN/>
        <w:bidi w:val="0"/>
        <w:spacing w:line="530" w:lineRule="exact"/>
        <w:rPr>
          <w:rFonts w:hint="default" w:ascii="方正小标宋简体" w:hAnsi="方正小标宋简体" w:eastAsia="方正小标宋简体" w:cs="方正小标宋简体"/>
          <w:color w:val="auto"/>
          <w:highlight w:val="none"/>
          <w:lang w:val="en-US" w:eastAsia="zh-CN"/>
        </w:rPr>
      </w:pPr>
      <w:bookmarkStart w:id="285" w:name="_Toc1968042322"/>
      <w:bookmarkStart w:id="286" w:name="_Toc1337147147"/>
      <w:bookmarkStart w:id="287" w:name="_Toc405094768"/>
      <w:bookmarkStart w:id="288" w:name="_Toc1707407656"/>
      <w:bookmarkStart w:id="289" w:name="_Toc44165322"/>
      <w:bookmarkStart w:id="290" w:name="_Toc1782668051"/>
      <w:bookmarkStart w:id="291" w:name="_Toc1873461683"/>
      <w:r>
        <w:rPr>
          <w:rFonts w:hint="eastAsia" w:ascii="方正小标宋简体" w:hAnsi="方正小标宋简体" w:eastAsia="方正小标宋简体" w:cs="方正小标宋简体"/>
          <w:color w:val="auto"/>
          <w:highlight w:val="none"/>
        </w:rPr>
        <w:t>全方位扩大内需，</w:t>
      </w:r>
      <w:r>
        <w:rPr>
          <w:rFonts w:hint="eastAsia" w:ascii="方正小标宋简体" w:hAnsi="方正小标宋简体" w:eastAsia="方正小标宋简体" w:cs="方正小标宋简体"/>
          <w:color w:val="auto"/>
          <w:highlight w:val="none"/>
          <w:lang w:val="en-US" w:eastAsia="zh-CN"/>
        </w:rPr>
        <w:t>构筑</w:t>
      </w:r>
      <w:r>
        <w:rPr>
          <w:rFonts w:hint="eastAsia" w:ascii="方正小标宋简体" w:hAnsi="方正小标宋简体" w:eastAsia="方正小标宋简体" w:cs="方正小标宋简体"/>
          <w:color w:val="auto"/>
          <w:highlight w:val="none"/>
        </w:rPr>
        <w:t>高质量发展</w:t>
      </w:r>
      <w:r>
        <w:rPr>
          <w:rFonts w:hint="eastAsia" w:ascii="方正小标宋简体" w:hAnsi="方正小标宋简体" w:eastAsia="方正小标宋简体" w:cs="方正小标宋简体"/>
          <w:color w:val="auto"/>
          <w:highlight w:val="none"/>
          <w:lang w:val="en-US" w:eastAsia="zh-CN"/>
        </w:rPr>
        <w:t>新优势</w:t>
      </w:r>
      <w:bookmarkEnd w:id="285"/>
      <w:bookmarkEnd w:id="286"/>
      <w:bookmarkEnd w:id="287"/>
      <w:bookmarkEnd w:id="288"/>
      <w:bookmarkEnd w:id="289"/>
      <w:bookmarkEnd w:id="290"/>
      <w:bookmarkEnd w:id="291"/>
    </w:p>
    <w:p>
      <w:pPr>
        <w:pStyle w:val="19"/>
        <w:pageBreakBefore w:val="0"/>
        <w:wordWrap/>
        <w:overflowPunct/>
        <w:autoSpaceDE/>
        <w:autoSpaceDN/>
        <w:bidi w:val="0"/>
        <w:spacing w:line="530" w:lineRule="exact"/>
        <w:rPr>
          <w:rFonts w:hint="default"/>
          <w:color w:val="auto"/>
          <w:highlight w:val="none"/>
          <w:lang w:val="en-US" w:eastAsia="zh-CN"/>
        </w:rPr>
      </w:pPr>
      <w:r>
        <w:rPr>
          <w:rFonts w:hint="eastAsia"/>
          <w:color w:val="auto"/>
          <w:highlight w:val="none"/>
          <w:lang w:val="en-US" w:eastAsia="zh-CN"/>
        </w:rPr>
        <w:t>围绕激发区域活力，创新消费供给，通过做强商圈、社区、商街三类业态，做亮冰雪、银发、数字、健康等“四种形态”，构建多元消费新格局。优化消费环境，通过塑造城区品牌、培育本土企业、创新智慧监管，提升消费体验与吸引力。精准扩大投资，着力拓展物理与产业空间，强化政府引领与民间活力，以全周期服务推动重大项目落地，为高质量发展注入新动能。</w:t>
      </w:r>
    </w:p>
    <w:p>
      <w:pPr>
        <w:pStyle w:val="3"/>
        <w:pageBreakBefore w:val="0"/>
        <w:wordWrap/>
        <w:overflowPunct/>
        <w:autoSpaceDE/>
        <w:autoSpaceDN/>
        <w:bidi w:val="0"/>
        <w:spacing w:line="530" w:lineRule="exact"/>
        <w:rPr>
          <w:color w:val="auto"/>
          <w:highlight w:val="none"/>
        </w:rPr>
      </w:pPr>
      <w:bookmarkStart w:id="292" w:name="_Toc1404708639"/>
      <w:bookmarkStart w:id="293" w:name="_Toc1757573860"/>
      <w:bookmarkStart w:id="294" w:name="_Toc1893899419"/>
      <w:bookmarkStart w:id="295" w:name="_Toc865273867"/>
      <w:bookmarkStart w:id="296" w:name="_Toc904604786"/>
      <w:bookmarkStart w:id="297" w:name="_Toc15733774"/>
      <w:bookmarkStart w:id="298" w:name="_Toc1344174760"/>
      <w:bookmarkStart w:id="299" w:name="_Toc1723983178"/>
      <w:bookmarkStart w:id="300" w:name="_Toc1866288556"/>
      <w:r>
        <w:rPr>
          <w:color w:val="auto"/>
          <w:highlight w:val="none"/>
        </w:rPr>
        <w:t>打造烟火气消费场景</w:t>
      </w:r>
      <w:bookmarkEnd w:id="292"/>
      <w:bookmarkEnd w:id="293"/>
      <w:bookmarkEnd w:id="294"/>
      <w:bookmarkEnd w:id="295"/>
      <w:bookmarkEnd w:id="296"/>
      <w:bookmarkEnd w:id="297"/>
      <w:bookmarkEnd w:id="298"/>
      <w:bookmarkEnd w:id="299"/>
      <w:bookmarkEnd w:id="300"/>
    </w:p>
    <w:p>
      <w:pPr>
        <w:pStyle w:val="4"/>
        <w:pageBreakBefore w:val="0"/>
        <w:wordWrap/>
        <w:overflowPunct/>
        <w:autoSpaceDE/>
        <w:autoSpaceDN/>
        <w:bidi w:val="0"/>
        <w:spacing w:line="530" w:lineRule="exact"/>
        <w:rPr>
          <w:color w:val="auto"/>
          <w:highlight w:val="none"/>
        </w:rPr>
      </w:pPr>
      <w:bookmarkStart w:id="301" w:name="_Toc2046108832"/>
      <w:bookmarkStart w:id="302" w:name="_Toc1650364202"/>
      <w:bookmarkStart w:id="303" w:name="_Toc1135907322"/>
      <w:bookmarkStart w:id="304" w:name="_Toc17224880"/>
      <w:r>
        <w:rPr>
          <w:color w:val="auto"/>
          <w:highlight w:val="none"/>
        </w:rPr>
        <w:t>做强三大商业新业态</w:t>
      </w:r>
      <w:bookmarkEnd w:id="301"/>
      <w:bookmarkEnd w:id="302"/>
      <w:bookmarkEnd w:id="303"/>
      <w:bookmarkEnd w:id="304"/>
    </w:p>
    <w:p>
      <w:pPr>
        <w:pStyle w:val="19"/>
        <w:pageBreakBefore w:val="0"/>
        <w:wordWrap/>
        <w:overflowPunct/>
        <w:autoSpaceDE/>
        <w:autoSpaceDN/>
        <w:bidi w:val="0"/>
        <w:spacing w:line="530" w:lineRule="exact"/>
        <w:ind w:firstLine="643"/>
        <w:rPr>
          <w:rFonts w:hint="default"/>
          <w:color w:val="auto"/>
          <w:highlight w:val="none"/>
        </w:rPr>
      </w:pPr>
      <w:r>
        <w:rPr>
          <w:rFonts w:hint="eastAsia"/>
          <w:b/>
          <w:bCs/>
          <w:color w:val="auto"/>
          <w:highlight w:val="none"/>
          <w:lang w:val="en-US" w:eastAsia="zh-CN"/>
        </w:rPr>
        <w:t>聚力</w:t>
      </w:r>
      <w:r>
        <w:rPr>
          <w:b/>
          <w:bCs/>
          <w:color w:val="auto"/>
          <w:highlight w:val="none"/>
        </w:rPr>
        <w:t>发展集中式商圈商业。</w:t>
      </w:r>
      <w:r>
        <w:rPr>
          <w:color w:val="auto"/>
          <w:highlight w:val="none"/>
        </w:rPr>
        <w:t>拓展</w:t>
      </w:r>
      <w:r>
        <w:rPr>
          <w:rFonts w:hint="eastAsia"/>
          <w:color w:val="auto"/>
          <w:highlight w:val="none"/>
          <w:lang w:val="en-US" w:eastAsia="zh-CN"/>
        </w:rPr>
        <w:t>西客站城市级商圈</w:t>
      </w:r>
      <w:r>
        <w:rPr>
          <w:color w:val="auto"/>
          <w:highlight w:val="none"/>
        </w:rPr>
        <w:t>，建设集美食广场、演艺广场、文化休闲等功能于一体的经济集聚区，规划飞跃路美食文化休闲轴、美食中心和文化中心、多条花卉景观渗透廊道等，联动周边的同鑫乐活城、同鑫水产等商业体，形成规模效应，完善长春</w:t>
      </w:r>
      <w:r>
        <w:rPr>
          <w:rFonts w:hint="eastAsia"/>
          <w:color w:val="auto"/>
          <w:highlight w:val="none"/>
          <w:lang w:eastAsia="zh-CN"/>
        </w:rPr>
        <w:t>西部城市会客厅</w:t>
      </w:r>
      <w:r>
        <w:rPr>
          <w:color w:val="auto"/>
          <w:highlight w:val="none"/>
        </w:rPr>
        <w:t>消费载体结构，成为长春市民打卡的新地标。继续强化吾悦广场新兴商业地标地位，深化主题街区改造，以潮流体验、美食娱乐、文创互动三大业态为核心，加强与长春公园等周边文旅资源的联动，形成“商业+文旅”的消费闭环。</w:t>
      </w:r>
      <w:r>
        <w:rPr>
          <w:rFonts w:hint="eastAsia"/>
          <w:color w:val="auto"/>
          <w:highlight w:val="none"/>
        </w:rPr>
        <w:t>提升欧亚春城体验水平</w:t>
      </w:r>
      <w:r>
        <w:rPr>
          <w:color w:val="auto"/>
          <w:highlight w:val="none"/>
        </w:rPr>
        <w:t>，通过文化赋能和场景再造，将欧亚春城打造成为集购物、餐饮、文化、娱乐于一体的综合性商业中心，同时加强与周边社区的联动，推出社区专属优惠等方式，增强商圈辐射能力。持续培育航博城商圈，打造集展览、科普、游乐、体验为一体的航空特色文旅目的地，持续推出科技展、研学游、学术交流等活动。</w:t>
      </w:r>
    </w:p>
    <w:p>
      <w:pPr>
        <w:pStyle w:val="19"/>
        <w:pageBreakBefore w:val="0"/>
        <w:wordWrap/>
        <w:overflowPunct/>
        <w:autoSpaceDE/>
        <w:autoSpaceDN/>
        <w:bidi w:val="0"/>
        <w:spacing w:line="530" w:lineRule="exact"/>
        <w:ind w:firstLine="643"/>
        <w:rPr>
          <w:rFonts w:hint="default"/>
          <w:color w:val="auto"/>
          <w:highlight w:val="none"/>
        </w:rPr>
      </w:pPr>
      <w:r>
        <w:rPr>
          <w:rFonts w:hint="eastAsia"/>
          <w:b/>
          <w:bCs/>
          <w:color w:val="auto"/>
          <w:highlight w:val="none"/>
          <w:lang w:val="en-US" w:eastAsia="zh-CN"/>
        </w:rPr>
        <w:t>充分</w:t>
      </w:r>
      <w:r>
        <w:rPr>
          <w:b/>
          <w:bCs/>
          <w:color w:val="auto"/>
          <w:highlight w:val="none"/>
        </w:rPr>
        <w:t>发展分散式社区商业。</w:t>
      </w:r>
      <w:r>
        <w:rPr>
          <w:color w:val="auto"/>
          <w:highlight w:val="none"/>
        </w:rPr>
        <w:t>统筹利用社区各类存量用房增设服务设施，推进社区商业标准化建设，按照“</w:t>
      </w:r>
      <w:r>
        <w:rPr>
          <w:rFonts w:ascii="Times New Roman" w:hAnsi="Times New Roman"/>
          <w:b w:val="0"/>
          <w:i w:val="0"/>
          <w:color w:val="auto"/>
          <w:highlight w:val="none"/>
        </w:rPr>
        <w:t>15</w:t>
      </w:r>
      <w:r>
        <w:rPr>
          <w:color w:val="auto"/>
          <w:highlight w:val="none"/>
        </w:rPr>
        <w:t>分钟生活圈”标准，在社区配置便利店、生鲜超市、餐饮、维修、家政等基本生活服务设施，满足居民日常消费需求。以新竹社区的“一社、一场、一街、多站”社区服务综合体为样板，以多元服务丰盈居民生活服务圈，利用社区内的生活性街道等现有条件，灵活布局小体量、多功能的服务设施或场所，打造惠民小街，不断完善社区功能配置。推动“小而美”的社区商业微更新，提升居民生活品质和商业环境。</w:t>
      </w:r>
    </w:p>
    <w:p>
      <w:pPr>
        <w:pStyle w:val="19"/>
        <w:pageBreakBefore w:val="0"/>
        <w:wordWrap/>
        <w:overflowPunct/>
        <w:autoSpaceDE/>
        <w:autoSpaceDN/>
        <w:bidi w:val="0"/>
        <w:spacing w:line="530" w:lineRule="exact"/>
        <w:ind w:firstLine="643"/>
        <w:rPr>
          <w:rFonts w:hint="default"/>
          <w:color w:val="auto"/>
          <w:highlight w:val="none"/>
          <w:lang w:val="en-US" w:eastAsia="zh-CN"/>
        </w:rPr>
      </w:pPr>
      <w:r>
        <w:rPr>
          <w:rFonts w:hint="eastAsia"/>
          <w:b/>
          <w:bCs/>
          <w:color w:val="auto"/>
          <w:highlight w:val="none"/>
          <w:lang w:val="en-US" w:eastAsia="zh-CN"/>
        </w:rPr>
        <w:t>培育</w:t>
      </w:r>
      <w:r>
        <w:rPr>
          <w:b/>
          <w:bCs/>
          <w:color w:val="auto"/>
          <w:highlight w:val="none"/>
        </w:rPr>
        <w:t>发展特色</w:t>
      </w:r>
      <w:r>
        <w:rPr>
          <w:rFonts w:hint="eastAsia"/>
          <w:b/>
          <w:bCs/>
          <w:color w:val="auto"/>
          <w:highlight w:val="none"/>
          <w:lang w:val="en-US" w:eastAsia="zh-CN"/>
        </w:rPr>
        <w:t>型</w:t>
      </w:r>
      <w:r>
        <w:rPr>
          <w:b/>
          <w:bCs/>
          <w:color w:val="auto"/>
          <w:highlight w:val="none"/>
        </w:rPr>
        <w:t>商街商业。</w:t>
      </w:r>
      <w:r>
        <w:rPr>
          <w:color w:val="auto"/>
          <w:highlight w:val="none"/>
        </w:rPr>
        <w:t>打造航空主题商业街，谋划落位高端星级酒店、大型城市综合体，精准高效引流推广，让绿园成为吉林旅游首选地。建设皓月特色文旅商街，</w:t>
      </w:r>
      <w:r>
        <w:rPr>
          <w:rFonts w:hint="eastAsia"/>
          <w:color w:val="auto"/>
          <w:highlight w:val="none"/>
          <w:lang w:val="en-US" w:eastAsia="zh-CN"/>
        </w:rPr>
        <w:t>推动</w:t>
      </w:r>
      <w:r>
        <w:rPr>
          <w:color w:val="auto"/>
          <w:highlight w:val="none"/>
        </w:rPr>
        <w:t>建设皓月欢乐荟文旅项目</w:t>
      </w:r>
      <w:r>
        <w:rPr>
          <w:rFonts w:hint="eastAsia"/>
          <w:color w:val="auto"/>
          <w:highlight w:val="none"/>
          <w:lang w:eastAsia="zh-CN"/>
        </w:rPr>
        <w:t>，以</w:t>
      </w:r>
      <w:r>
        <w:rPr>
          <w:color w:val="auto"/>
          <w:highlight w:val="none"/>
        </w:rPr>
        <w:t>特色美食</w:t>
      </w:r>
      <w:r>
        <w:rPr>
          <w:rFonts w:hint="eastAsia"/>
          <w:color w:val="auto"/>
          <w:highlight w:val="none"/>
          <w:lang w:eastAsia="zh-CN"/>
        </w:rPr>
        <w:t>、</w:t>
      </w:r>
      <w:r>
        <w:rPr>
          <w:color w:val="auto"/>
          <w:highlight w:val="none"/>
        </w:rPr>
        <w:t>异域风情和中式主题餐饮为主线，大型室外娱乐设施为动线，蕴含</w:t>
      </w:r>
      <w:r>
        <w:rPr>
          <w:rFonts w:hint="eastAsia"/>
          <w:color w:val="auto"/>
          <w:highlight w:val="none"/>
          <w:lang w:eastAsia="zh-CN"/>
        </w:rPr>
        <w:t>科普</w:t>
      </w:r>
      <w:r>
        <w:rPr>
          <w:color w:val="auto"/>
          <w:highlight w:val="none"/>
        </w:rPr>
        <w:t>研学教育等文化体验的特色商街。提升乐园路、万福街、悦见</w:t>
      </w:r>
      <w:r>
        <w:rPr>
          <w:rFonts w:ascii="Times New Roman" w:hAnsi="Times New Roman"/>
          <w:b w:val="0"/>
          <w:i w:val="0"/>
          <w:color w:val="auto"/>
          <w:highlight w:val="none"/>
        </w:rPr>
        <w:t>39</w:t>
      </w:r>
      <w:r>
        <w:rPr>
          <w:color w:val="auto"/>
          <w:highlight w:val="none"/>
        </w:rPr>
        <w:t>°步行街等特色美食商街，</w:t>
      </w:r>
      <w:r>
        <w:rPr>
          <w:rFonts w:hint="eastAsia"/>
          <w:color w:val="auto"/>
          <w:highlight w:val="none"/>
          <w:lang w:val="en-US" w:eastAsia="zh-CN"/>
        </w:rPr>
        <w:t>借鉴国内先进经验，</w:t>
      </w:r>
      <w:r>
        <w:rPr>
          <w:rFonts w:hint="default"/>
          <w:color w:val="auto"/>
          <w:highlight w:val="none"/>
          <w:lang w:val="en-US" w:eastAsia="zh-CN"/>
        </w:rPr>
        <w:t>实施一套“硬件提升、业态升级、运营活化、管理赋能”的组合拳。实施“一街一策”的精准改造与业态规划，通过“首店经济</w:t>
      </w:r>
      <w:r>
        <w:rPr>
          <w:rFonts w:hint="eastAsia"/>
          <w:color w:val="auto"/>
          <w:highlight w:val="none"/>
          <w:lang w:val="en-US" w:eastAsia="zh-CN"/>
        </w:rPr>
        <w:t>”“</w:t>
      </w:r>
      <w:r>
        <w:rPr>
          <w:rFonts w:hint="default"/>
          <w:color w:val="auto"/>
          <w:highlight w:val="none"/>
          <w:lang w:val="en-US" w:eastAsia="zh-CN"/>
        </w:rPr>
        <w:t>旗舰店”引入和“</w:t>
      </w:r>
      <w:r>
        <w:rPr>
          <w:rFonts w:hint="eastAsia"/>
          <w:color w:val="auto"/>
          <w:highlight w:val="none"/>
          <w:lang w:val="en-US" w:eastAsia="zh-CN"/>
        </w:rPr>
        <w:t>老店铺</w:t>
      </w:r>
      <w:r>
        <w:rPr>
          <w:rFonts w:hint="default"/>
          <w:color w:val="auto"/>
          <w:highlight w:val="none"/>
          <w:lang w:val="en-US" w:eastAsia="zh-CN"/>
        </w:rPr>
        <w:t>”焕新，淘汰低效业态，构建差异化、</w:t>
      </w:r>
      <w:r>
        <w:rPr>
          <w:rFonts w:hint="eastAsia"/>
          <w:color w:val="auto"/>
          <w:highlight w:val="none"/>
          <w:lang w:val="en-US" w:eastAsia="zh-CN"/>
        </w:rPr>
        <w:t>互补型</w:t>
      </w:r>
      <w:r>
        <w:rPr>
          <w:rFonts w:hint="default"/>
          <w:color w:val="auto"/>
          <w:highlight w:val="none"/>
          <w:lang w:val="en-US" w:eastAsia="zh-CN"/>
        </w:rPr>
        <w:t>的商业生态</w:t>
      </w:r>
      <w:r>
        <w:rPr>
          <w:rFonts w:hint="eastAsia"/>
          <w:color w:val="auto"/>
          <w:highlight w:val="none"/>
          <w:lang w:val="en-US" w:eastAsia="zh-CN"/>
        </w:rPr>
        <w:t>，</w:t>
      </w:r>
      <w:r>
        <w:rPr>
          <w:rFonts w:hint="default"/>
          <w:color w:val="auto"/>
          <w:highlight w:val="none"/>
          <w:lang w:val="en-US" w:eastAsia="zh-CN"/>
        </w:rPr>
        <w:t>引入专业化、市场化运营，将静态街区变为动态的“社交场”与“打卡地”。推行柔性执法，在特定时段和区域放宽商业活动限制，将商街打造为集文化体验、休闲社交与品质消费于一体的城市消费新地标和区域活力引擎。</w:t>
      </w:r>
    </w:p>
    <w:p>
      <w:pPr>
        <w:pStyle w:val="4"/>
        <w:pageBreakBefore w:val="0"/>
        <w:wordWrap/>
        <w:overflowPunct/>
        <w:autoSpaceDE/>
        <w:autoSpaceDN/>
        <w:bidi w:val="0"/>
        <w:spacing w:line="530" w:lineRule="exact"/>
        <w:rPr>
          <w:color w:val="auto"/>
          <w:highlight w:val="none"/>
        </w:rPr>
      </w:pPr>
      <w:bookmarkStart w:id="305" w:name="_Toc1735749462"/>
      <w:bookmarkStart w:id="306" w:name="_Toc1295500013"/>
      <w:bookmarkStart w:id="307" w:name="_Toc772358362"/>
      <w:bookmarkStart w:id="308" w:name="_Toc64739024"/>
      <w:r>
        <w:rPr>
          <w:color w:val="auto"/>
          <w:highlight w:val="none"/>
        </w:rPr>
        <w:t>做亮四大消费新形态</w:t>
      </w:r>
      <w:bookmarkEnd w:id="305"/>
      <w:bookmarkEnd w:id="306"/>
      <w:bookmarkEnd w:id="307"/>
      <w:bookmarkEnd w:id="308"/>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冰雪经济。</w:t>
      </w:r>
      <w:r>
        <w:rPr>
          <w:color w:val="auto"/>
          <w:highlight w:val="none"/>
        </w:rPr>
        <w:t>围绕</w:t>
      </w:r>
      <w:r>
        <w:rPr>
          <w:rFonts w:hint="eastAsia"/>
          <w:color w:val="auto"/>
          <w:highlight w:val="none"/>
          <w:lang w:val="en-US" w:eastAsia="zh-CN"/>
        </w:rPr>
        <w:t>锦江公园</w:t>
      </w:r>
      <w:r>
        <w:rPr>
          <w:rFonts w:hint="eastAsia"/>
          <w:color w:val="auto"/>
          <w:highlight w:val="none"/>
          <w:lang w:eastAsia="zh-CN"/>
        </w:rPr>
        <w:t>、</w:t>
      </w:r>
      <w:r>
        <w:rPr>
          <w:color w:val="auto"/>
          <w:highlight w:val="none"/>
        </w:rPr>
        <w:t>长春公园、雁鸣湖公园等场地，开展参与式、体验式、沉浸式的消费活动。重点发展</w:t>
      </w:r>
      <w:r>
        <w:rPr>
          <w:rFonts w:hint="eastAsia"/>
          <w:color w:val="auto"/>
          <w:highlight w:val="none"/>
          <w:lang w:val="en-US" w:eastAsia="zh-CN"/>
        </w:rPr>
        <w:t>大众</w:t>
      </w:r>
      <w:r>
        <w:rPr>
          <w:color w:val="auto"/>
          <w:highlight w:val="none"/>
        </w:rPr>
        <w:t>赛事、运动培训、冰雪观光、互动娱乐等业态，举办冰雪游览等体验项目，开展冰滑梯、雪地摩托等大众娱乐项目。</w:t>
      </w:r>
      <w:r>
        <w:rPr>
          <w:rFonts w:hint="default"/>
          <w:color w:val="auto"/>
          <w:highlight w:val="none"/>
        </w:rPr>
        <w:t>将</w:t>
      </w:r>
      <w:r>
        <w:rPr>
          <w:rFonts w:hint="default" w:ascii="Times New Roman" w:hAnsi="Times New Roman"/>
          <w:b w:val="0"/>
          <w:i w:val="0"/>
          <w:color w:val="auto"/>
          <w:highlight w:val="none"/>
        </w:rPr>
        <w:t>54</w:t>
      </w:r>
      <w:r>
        <w:rPr>
          <w:rFonts w:hint="default"/>
          <w:color w:val="auto"/>
          <w:highlight w:val="none"/>
        </w:rPr>
        <w:t>路有轨电车沿线、吾悦广场等生活商圈设置为冰雪打卡点，让冰雪体验成为居民日常生活的自然延伸。联动商家营造暖心消费氛围</w:t>
      </w:r>
      <w:r>
        <w:rPr>
          <w:rFonts w:hint="eastAsia"/>
          <w:color w:val="auto"/>
          <w:highlight w:val="none"/>
          <w:lang w:eastAsia="zh-CN"/>
        </w:rPr>
        <w:t>，</w:t>
      </w:r>
      <w:r>
        <w:rPr>
          <w:rFonts w:hint="default"/>
          <w:color w:val="auto"/>
          <w:highlight w:val="none"/>
        </w:rPr>
        <w:t>在冰雪季推出组合消费产品和优惠卡券</w:t>
      </w:r>
      <w:r>
        <w:rPr>
          <w:rFonts w:hint="eastAsia"/>
          <w:color w:val="auto"/>
          <w:highlight w:val="none"/>
          <w:lang w:eastAsia="zh-CN"/>
        </w:rPr>
        <w:t>，</w:t>
      </w:r>
      <w:r>
        <w:rPr>
          <w:rFonts w:hint="default"/>
          <w:color w:val="auto"/>
          <w:highlight w:val="none"/>
        </w:rPr>
        <w:t>提升冰雪体验的温度。</w:t>
      </w:r>
    </w:p>
    <w:p>
      <w:pPr>
        <w:pStyle w:val="19"/>
        <w:pageBreakBefore w:val="0"/>
        <w:wordWrap/>
        <w:overflowPunct/>
        <w:autoSpaceDE/>
        <w:autoSpaceDN/>
        <w:bidi w:val="0"/>
        <w:spacing w:line="530" w:lineRule="exact"/>
        <w:ind w:firstLine="643"/>
        <w:rPr>
          <w:color w:val="auto"/>
          <w:highlight w:val="none"/>
        </w:rPr>
      </w:pPr>
      <w:r>
        <w:rPr>
          <w:b/>
          <w:bCs/>
          <w:color w:val="auto"/>
          <w:highlight w:val="none"/>
        </w:rPr>
        <w:t>银发经济。</w:t>
      </w:r>
      <w:r>
        <w:rPr>
          <w:color w:val="auto"/>
          <w:highlight w:val="none"/>
        </w:rPr>
        <w:t>推动现有养老机构升级，引入医疗资源，培育生态康养型养老机构。依托适老生活圈完成设施改造，升级社区养老服务站</w:t>
      </w:r>
      <w:r>
        <w:rPr>
          <w:rFonts w:hint="eastAsia"/>
          <w:color w:val="auto"/>
          <w:highlight w:val="none"/>
          <w:lang w:eastAsia="zh-CN"/>
        </w:rPr>
        <w:t>，</w:t>
      </w:r>
      <w:r>
        <w:rPr>
          <w:color w:val="auto"/>
          <w:highlight w:val="none"/>
        </w:rPr>
        <w:t>结合皓月集团开发老年餐食，在社区商业中植入适老业态，满足老年群体日常消费需求，</w:t>
      </w:r>
      <w:r>
        <w:rPr>
          <w:rFonts w:hint="eastAsia"/>
          <w:color w:val="auto"/>
          <w:highlight w:val="none"/>
        </w:rPr>
        <w:t>打造集社区餐厅、超市、学堂、医馆于一体的“社区服务综合体”</w:t>
      </w:r>
      <w:r>
        <w:rPr>
          <w:color w:val="auto"/>
          <w:highlight w:val="none"/>
        </w:rPr>
        <w:t>。结合红民村、裴家村等特色乡村旅游目的地，开发“一日康养游”产品。</w:t>
      </w:r>
      <w:r>
        <w:rPr>
          <w:rFonts w:hint="eastAsia"/>
          <w:color w:val="auto"/>
          <w:highlight w:val="none"/>
        </w:rPr>
        <w:t>发展“社区合伙人”模式激活闲置资源，</w:t>
      </w:r>
      <w:r>
        <w:rPr>
          <w:rFonts w:hint="eastAsia"/>
          <w:color w:val="auto"/>
          <w:highlight w:val="none"/>
          <w:lang w:eastAsia="zh-CN"/>
        </w:rPr>
        <w:t>提供</w:t>
      </w:r>
      <w:r>
        <w:rPr>
          <w:rFonts w:hint="eastAsia"/>
          <w:color w:val="auto"/>
          <w:highlight w:val="none"/>
        </w:rPr>
        <w:t>家政服务、上门医疗等六大类百余项服务，精准满足老年人就近养老的多元化需求。</w:t>
      </w:r>
    </w:p>
    <w:p>
      <w:pPr>
        <w:pStyle w:val="19"/>
        <w:pageBreakBefore w:val="0"/>
        <w:wordWrap/>
        <w:overflowPunct/>
        <w:autoSpaceDE/>
        <w:autoSpaceDN/>
        <w:bidi w:val="0"/>
        <w:spacing w:line="530" w:lineRule="exact"/>
        <w:ind w:firstLine="643"/>
        <w:rPr>
          <w:rFonts w:hint="eastAsia"/>
          <w:b w:val="0"/>
          <w:bCs w:val="0"/>
          <w:color w:val="auto"/>
          <w:highlight w:val="none"/>
          <w:lang w:val="en-US" w:eastAsia="zh-CN"/>
        </w:rPr>
      </w:pPr>
      <w:r>
        <w:rPr>
          <w:rFonts w:hint="eastAsia"/>
          <w:b/>
          <w:bCs/>
          <w:color w:val="auto"/>
          <w:highlight w:val="none"/>
          <w:lang w:val="en-US" w:eastAsia="zh-CN"/>
        </w:rPr>
        <w:t>数字消费。</w:t>
      </w:r>
      <w:r>
        <w:rPr>
          <w:rFonts w:hint="eastAsia"/>
          <w:b w:val="0"/>
          <w:bCs w:val="0"/>
          <w:color w:val="auto"/>
          <w:highlight w:val="none"/>
          <w:lang w:val="en-US" w:eastAsia="zh-CN"/>
        </w:rPr>
        <w:t>推动线下场景的数字化升级，围绕商圈、商街的改造，在提升</w:t>
      </w:r>
      <w:r>
        <w:rPr>
          <w:rFonts w:hint="eastAsia" w:ascii="Times New Roman" w:hAnsi="Times New Roman"/>
          <w:b w:val="0"/>
          <w:bCs w:val="0"/>
          <w:i w:val="0"/>
          <w:color w:val="auto"/>
          <w:highlight w:val="none"/>
          <w:lang w:val="en-US" w:eastAsia="zh-CN"/>
        </w:rPr>
        <w:t>5</w:t>
      </w:r>
      <w:r>
        <w:rPr>
          <w:rFonts w:hint="eastAsia"/>
          <w:b w:val="0"/>
          <w:bCs w:val="0"/>
          <w:color w:val="auto"/>
          <w:highlight w:val="none"/>
          <w:lang w:val="en-US" w:eastAsia="zh-CN"/>
        </w:rPr>
        <w:t>G网络覆盖的基础上，鼓励商户引入智能支付、VR导览、直播探店等数字化手段，与运营商合作打造“</w:t>
      </w:r>
      <w:r>
        <w:rPr>
          <w:rFonts w:hint="eastAsia" w:ascii="Times New Roman" w:hAnsi="Times New Roman"/>
          <w:b w:val="0"/>
          <w:bCs w:val="0"/>
          <w:i w:val="0"/>
          <w:color w:val="auto"/>
          <w:highlight w:val="none"/>
          <w:lang w:val="en-US" w:eastAsia="zh-CN"/>
        </w:rPr>
        <w:t>5</w:t>
      </w:r>
      <w:r>
        <w:rPr>
          <w:rFonts w:hint="eastAsia"/>
          <w:b w:val="0"/>
          <w:bCs w:val="0"/>
          <w:color w:val="auto"/>
          <w:highlight w:val="none"/>
          <w:lang w:val="en-US" w:eastAsia="zh-CN"/>
        </w:rPr>
        <w:t>G+AI全场景数智园区”，将数字化融入会展、文旅等消费场景。积极利用“网红直播”等网络资源，为便民市场、特色集市和餐饮街区打造线上话题和专属IP。</w:t>
      </w:r>
    </w:p>
    <w:p>
      <w:pPr>
        <w:pStyle w:val="19"/>
        <w:pageBreakBefore w:val="0"/>
        <w:wordWrap/>
        <w:overflowPunct/>
        <w:autoSpaceDE/>
        <w:autoSpaceDN/>
        <w:bidi w:val="0"/>
        <w:spacing w:line="530" w:lineRule="exact"/>
        <w:ind w:firstLine="643"/>
        <w:rPr>
          <w:rFonts w:hint="eastAsia"/>
          <w:b w:val="0"/>
          <w:bCs w:val="0"/>
          <w:color w:val="auto"/>
          <w:highlight w:val="none"/>
          <w:lang w:val="en-US" w:eastAsia="zh-CN"/>
        </w:rPr>
      </w:pPr>
      <w:r>
        <w:rPr>
          <w:rFonts w:hint="eastAsia"/>
          <w:b/>
          <w:bCs/>
          <w:color w:val="auto"/>
          <w:highlight w:val="none"/>
          <w:lang w:val="en-US" w:eastAsia="zh-CN"/>
        </w:rPr>
        <w:t>健康消费。</w:t>
      </w:r>
      <w:r>
        <w:rPr>
          <w:rFonts w:hint="eastAsia"/>
          <w:b w:val="0"/>
          <w:bCs w:val="0"/>
          <w:color w:val="auto"/>
          <w:highlight w:val="none"/>
          <w:lang w:val="en-US" w:eastAsia="zh-CN"/>
        </w:rPr>
        <w:t>在现有的便民市场体系中，阶段性地开辟应季农产品销售摊位，鼓励本地绿色、有机农产品直供，建立更严格的摊位卫生管理责任制，让市民的“菜篮子”更新鲜、更安全。将健康消费从“买食材”延伸到“享服务”。在完善老年助餐服务的基础上，在社区服务综合体中融入健康监测、营养咨询、中医理疗等轻量化健康服务项目。推动健康与文旅、休闲等业态结合，突出健康主题，引入健步走、户外瑜伽、健康膳食推广等活动，在休闲中自然植入健康消费。</w:t>
      </w:r>
    </w:p>
    <w:p>
      <w:pPr>
        <w:pStyle w:val="3"/>
        <w:pageBreakBefore w:val="0"/>
        <w:wordWrap/>
        <w:overflowPunct/>
        <w:autoSpaceDE/>
        <w:autoSpaceDN/>
        <w:bidi w:val="0"/>
        <w:spacing w:line="530" w:lineRule="exact"/>
        <w:rPr>
          <w:rFonts w:hint="eastAsia" w:ascii="仿宋_GB2312" w:hAnsi="仿宋_GB2312" w:eastAsia="仿宋_GB2312" w:cs="仿宋_GB2312"/>
          <w:color w:val="auto"/>
          <w:sz w:val="32"/>
          <w:szCs w:val="32"/>
          <w:highlight w:val="none"/>
          <w:lang w:val="en-US" w:eastAsia="zh-CN"/>
        </w:rPr>
      </w:pPr>
      <w:bookmarkStart w:id="309" w:name="_Toc132021558"/>
      <w:bookmarkStart w:id="310" w:name="_Toc1635827666"/>
      <w:bookmarkStart w:id="311" w:name="_Toc565612610"/>
      <w:bookmarkStart w:id="312" w:name="_Toc906300535"/>
      <w:bookmarkStart w:id="313" w:name="_Toc297051037"/>
      <w:bookmarkStart w:id="314" w:name="_Toc1442050986"/>
      <w:bookmarkStart w:id="315" w:name="_Toc1655901189"/>
      <w:bookmarkStart w:id="316" w:name="_Toc1323346986"/>
      <w:r>
        <w:rPr>
          <w:rStyle w:val="25"/>
          <w:rFonts w:hint="eastAsia"/>
          <w:b w:val="0"/>
          <w:bCs/>
          <w:color w:val="auto"/>
          <w:highlight w:val="none"/>
          <w:lang w:val="en-US" w:eastAsia="zh-CN"/>
        </w:rPr>
        <w:t>全面优化消费环境</w:t>
      </w:r>
      <w:bookmarkEnd w:id="309"/>
      <w:bookmarkEnd w:id="310"/>
      <w:bookmarkEnd w:id="311"/>
      <w:bookmarkEnd w:id="312"/>
      <w:bookmarkEnd w:id="313"/>
      <w:bookmarkEnd w:id="314"/>
      <w:bookmarkEnd w:id="315"/>
      <w:bookmarkEnd w:id="316"/>
    </w:p>
    <w:p>
      <w:pPr>
        <w:pStyle w:val="4"/>
        <w:pageBreakBefore w:val="0"/>
        <w:wordWrap/>
        <w:overflowPunct/>
        <w:autoSpaceDE/>
        <w:autoSpaceDN/>
        <w:bidi w:val="0"/>
        <w:spacing w:line="530" w:lineRule="exact"/>
        <w:rPr>
          <w:color w:val="auto"/>
          <w:highlight w:val="none"/>
        </w:rPr>
      </w:pPr>
      <w:bookmarkStart w:id="317" w:name="_Toc535717955"/>
      <w:bookmarkStart w:id="318" w:name="_Toc4661723"/>
      <w:bookmarkStart w:id="319" w:name="_Toc50481660"/>
      <w:bookmarkStart w:id="320" w:name="_Toc1269933568"/>
      <w:bookmarkStart w:id="321" w:name="_Toc1161547351"/>
      <w:r>
        <w:rPr>
          <w:rFonts w:hint="eastAsia"/>
          <w:color w:val="auto"/>
          <w:highlight w:val="none"/>
          <w:lang w:val="en-US" w:eastAsia="zh-CN"/>
        </w:rPr>
        <w:t>优化城区形象推介</w:t>
      </w:r>
      <w:bookmarkEnd w:id="317"/>
      <w:bookmarkEnd w:id="318"/>
      <w:bookmarkEnd w:id="319"/>
      <w:bookmarkEnd w:id="320"/>
    </w:p>
    <w:p>
      <w:pPr>
        <w:pStyle w:val="19"/>
        <w:pageBreakBefore w:val="0"/>
        <w:wordWrap/>
        <w:overflowPunct/>
        <w:autoSpaceDE/>
        <w:autoSpaceDN/>
        <w:bidi w:val="0"/>
        <w:spacing w:line="530" w:lineRule="exact"/>
        <w:ind w:firstLine="643"/>
        <w:rPr>
          <w:rFonts w:hint="eastAsia"/>
          <w:b w:val="0"/>
          <w:bCs w:val="0"/>
          <w:color w:val="auto"/>
          <w:highlight w:val="none"/>
          <w:lang w:val="en-US" w:eastAsia="zh-CN"/>
        </w:rPr>
      </w:pPr>
      <w:r>
        <w:rPr>
          <w:rFonts w:hint="eastAsia"/>
          <w:b/>
          <w:bCs/>
          <w:color w:val="auto"/>
          <w:highlight w:val="none"/>
          <w:lang w:val="en-US" w:eastAsia="zh-CN"/>
        </w:rPr>
        <w:t>塑造统一且鲜活的城区品牌视觉与叙事体系</w:t>
      </w:r>
      <w:r>
        <w:rPr>
          <w:rFonts w:hint="eastAsia"/>
          <w:b w:val="0"/>
          <w:bCs w:val="0"/>
          <w:color w:val="auto"/>
          <w:highlight w:val="none"/>
          <w:lang w:val="en-US" w:eastAsia="zh-CN"/>
        </w:rPr>
        <w:t>。打造核心品牌标识与口号，设计一个融合绿园区特色底蕴与现代活力的视觉标识和品牌口号，广泛应用于官方宣传材料、商街导视系统、文创产品及线上平台，形成统一的品牌记忆点。提炼能够叙述绿园品牌的故事线，将航空文化、工业文化等内容融入消费。</w:t>
      </w:r>
    </w:p>
    <w:p>
      <w:pPr>
        <w:pStyle w:val="19"/>
        <w:pageBreakBefore w:val="0"/>
        <w:wordWrap/>
        <w:overflowPunct/>
        <w:autoSpaceDE/>
        <w:autoSpaceDN/>
        <w:bidi w:val="0"/>
        <w:spacing w:line="530" w:lineRule="exact"/>
        <w:ind w:firstLine="643"/>
        <w:rPr>
          <w:rFonts w:hint="eastAsia"/>
          <w:b w:val="0"/>
          <w:bCs w:val="0"/>
          <w:color w:val="auto"/>
          <w:highlight w:val="none"/>
          <w:lang w:val="en-US" w:eastAsia="zh-CN"/>
        </w:rPr>
      </w:pPr>
      <w:r>
        <w:rPr>
          <w:rFonts w:hint="eastAsia"/>
          <w:b/>
          <w:bCs/>
          <w:color w:val="auto"/>
          <w:highlight w:val="none"/>
          <w:lang w:val="en-US" w:eastAsia="zh-CN"/>
        </w:rPr>
        <w:t>实施“内容共创”与“数字化精准触达”策略。</w:t>
      </w:r>
      <w:r>
        <w:rPr>
          <w:rFonts w:hint="eastAsia"/>
          <w:b w:val="0"/>
          <w:bCs w:val="0"/>
          <w:color w:val="auto"/>
          <w:highlight w:val="none"/>
          <w:lang w:val="en-US" w:eastAsia="zh-CN"/>
        </w:rPr>
        <w:t>借鉴品牌营销的“KOC”模式，招募并扶持本地的美食博主、探店达人、摄影师、手工艺人作为“城区体验官”。构建绿园消费数字平台，集成VR云逛街、消费地图、活动日历、优惠券发放功能平台，实现从“线上种草”到“线下打卡”的无缝转化。</w:t>
      </w:r>
    </w:p>
    <w:p>
      <w:pPr>
        <w:pStyle w:val="19"/>
        <w:pageBreakBefore w:val="0"/>
        <w:wordWrap/>
        <w:overflowPunct/>
        <w:autoSpaceDE/>
        <w:autoSpaceDN/>
        <w:bidi w:val="0"/>
        <w:spacing w:line="530" w:lineRule="exact"/>
        <w:ind w:firstLine="643"/>
        <w:rPr>
          <w:rFonts w:hint="eastAsia"/>
          <w:b w:val="0"/>
          <w:bCs w:val="0"/>
          <w:color w:val="auto"/>
          <w:highlight w:val="none"/>
          <w:lang w:val="en-US" w:eastAsia="zh-CN"/>
        </w:rPr>
      </w:pPr>
      <w:r>
        <w:rPr>
          <w:rFonts w:hint="eastAsia"/>
          <w:b/>
          <w:bCs/>
          <w:color w:val="auto"/>
          <w:highlight w:val="none"/>
          <w:lang w:val="en-US" w:eastAsia="zh-CN"/>
        </w:rPr>
        <w:t>编制绿园区新消费宣传片推介全区消费资源。</w:t>
      </w:r>
      <w:r>
        <w:rPr>
          <w:rFonts w:hint="eastAsia"/>
          <w:b w:val="0"/>
          <w:bCs w:val="0"/>
          <w:color w:val="auto"/>
          <w:highlight w:val="none"/>
          <w:lang w:val="en-US" w:eastAsia="zh-CN"/>
        </w:rPr>
        <w:t>打造绿园必游景点、必吃小吃、必购特产、必逛商街。组织开展新经济直播、网红带货大赛、短视频大赛、好货优选等系列活动，打造“本地人幸福、外地人欣喜”的消费区域形象。强化航空旅游、工业旅游、乡村旅游等重要IP，构建城市宣传热点，带动文旅市场发展。加大主要客源地宣传推介力度，聚焦长三角、珠三角以及东南亚、东北亚等客源地市场，有计划地推广绿园的航空、避暑等资源，扩大新兴客源市场份额。</w:t>
      </w:r>
    </w:p>
    <w:p>
      <w:pPr>
        <w:pStyle w:val="4"/>
        <w:pageBreakBefore w:val="0"/>
        <w:wordWrap/>
        <w:overflowPunct/>
        <w:autoSpaceDE/>
        <w:autoSpaceDN/>
        <w:bidi w:val="0"/>
        <w:spacing w:line="530" w:lineRule="exact"/>
        <w:rPr>
          <w:rFonts w:hint="default"/>
          <w:color w:val="auto"/>
          <w:highlight w:val="none"/>
          <w:lang w:val="en-US" w:eastAsia="zh-CN"/>
        </w:rPr>
      </w:pPr>
      <w:bookmarkStart w:id="322" w:name="_Toc2080993490"/>
      <w:bookmarkStart w:id="323" w:name="_Toc189219055"/>
      <w:bookmarkStart w:id="324" w:name="_Toc1040167169"/>
      <w:bookmarkStart w:id="325" w:name="_Toc1560221461"/>
      <w:r>
        <w:rPr>
          <w:rFonts w:hint="eastAsia"/>
          <w:color w:val="auto"/>
          <w:highlight w:val="none"/>
          <w:lang w:val="en-US" w:eastAsia="zh-CN"/>
        </w:rPr>
        <w:t>优化培育品牌塑造</w:t>
      </w:r>
      <w:bookmarkEnd w:id="322"/>
      <w:bookmarkEnd w:id="323"/>
      <w:bookmarkEnd w:id="324"/>
      <w:bookmarkEnd w:id="325"/>
    </w:p>
    <w:p>
      <w:pPr>
        <w:pStyle w:val="19"/>
        <w:pageBreakBefore w:val="0"/>
        <w:wordWrap/>
        <w:overflowPunct/>
        <w:autoSpaceDE/>
        <w:autoSpaceDN/>
        <w:bidi w:val="0"/>
        <w:spacing w:line="530" w:lineRule="exact"/>
        <w:ind w:firstLine="643"/>
        <w:rPr>
          <w:rFonts w:hint="eastAsia"/>
          <w:b/>
          <w:bCs/>
          <w:color w:val="auto"/>
          <w:highlight w:val="none"/>
        </w:rPr>
      </w:pPr>
      <w:r>
        <w:rPr>
          <w:rFonts w:hint="eastAsia"/>
          <w:b/>
          <w:bCs/>
          <w:color w:val="auto"/>
          <w:highlight w:val="none"/>
        </w:rPr>
        <w:t>建立“</w:t>
      </w:r>
      <w:r>
        <w:rPr>
          <w:rFonts w:hint="eastAsia"/>
          <w:b/>
          <w:bCs/>
          <w:color w:val="auto"/>
          <w:highlight w:val="none"/>
          <w:lang w:val="en-US" w:eastAsia="zh-CN"/>
        </w:rPr>
        <w:t>绿园</w:t>
      </w:r>
      <w:r>
        <w:rPr>
          <w:rFonts w:hint="eastAsia"/>
          <w:b/>
          <w:bCs/>
          <w:color w:val="auto"/>
          <w:highlight w:val="none"/>
        </w:rPr>
        <w:t>品牌种子库”与分层培育机制</w:t>
      </w:r>
      <w:r>
        <w:rPr>
          <w:rFonts w:hint="eastAsia"/>
          <w:b/>
          <w:bCs/>
          <w:color w:val="auto"/>
          <w:highlight w:val="none"/>
          <w:lang w:eastAsia="zh-CN"/>
        </w:rPr>
        <w:t>。</w:t>
      </w:r>
      <w:r>
        <w:rPr>
          <w:rFonts w:hint="eastAsia"/>
          <w:color w:val="auto"/>
          <w:highlight w:val="none"/>
        </w:rPr>
        <w:t>对全区老字号、特色小店、新兴品牌进行全面摸底，</w:t>
      </w:r>
      <w:r>
        <w:rPr>
          <w:rFonts w:hint="eastAsia"/>
          <w:color w:val="auto"/>
          <w:highlight w:val="none"/>
          <w:lang w:val="en-US" w:eastAsia="zh-CN"/>
        </w:rPr>
        <w:t>并对品牌进行分层赋能。</w:t>
      </w:r>
      <w:r>
        <w:rPr>
          <w:rFonts w:hint="eastAsia"/>
          <w:color w:val="auto"/>
          <w:highlight w:val="none"/>
        </w:rPr>
        <w:t>为区内优质产品与服务提供统一的品质认证、品牌标识和包装设计支持，将其打造为区域信誉的象征。</w:t>
      </w:r>
      <w:r>
        <w:rPr>
          <w:rFonts w:hint="eastAsia"/>
          <w:b w:val="0"/>
          <w:bCs w:val="0"/>
          <w:color w:val="auto"/>
          <w:highlight w:val="none"/>
        </w:rPr>
        <w:t>IP跨界赋能</w:t>
      </w:r>
      <w:r>
        <w:rPr>
          <w:rFonts w:hint="eastAsia"/>
          <w:b w:val="0"/>
          <w:bCs w:val="0"/>
          <w:color w:val="auto"/>
          <w:highlight w:val="none"/>
          <w:lang w:eastAsia="zh-CN"/>
        </w:rPr>
        <w:t>，</w:t>
      </w:r>
      <w:r>
        <w:rPr>
          <w:rFonts w:hint="eastAsia"/>
          <w:b w:val="0"/>
          <w:bCs w:val="0"/>
          <w:color w:val="auto"/>
          <w:highlight w:val="none"/>
        </w:rPr>
        <w:t>推动</w:t>
      </w:r>
      <w:r>
        <w:rPr>
          <w:rFonts w:hint="eastAsia"/>
          <w:b w:val="0"/>
          <w:bCs w:val="0"/>
          <w:color w:val="auto"/>
          <w:highlight w:val="none"/>
          <w:lang w:val="en-US" w:eastAsia="zh-CN"/>
        </w:rPr>
        <w:t>品牌</w:t>
      </w:r>
      <w:r>
        <w:rPr>
          <w:rFonts w:hint="eastAsia"/>
          <w:b w:val="0"/>
          <w:bCs w:val="0"/>
          <w:color w:val="auto"/>
          <w:highlight w:val="none"/>
        </w:rPr>
        <w:t>与本地文旅IP联动，开发联名产品，实现“以IP带品牌，以品牌促消费”的良性循环。</w:t>
      </w:r>
    </w:p>
    <w:p>
      <w:pPr>
        <w:pStyle w:val="19"/>
        <w:pageBreakBefore w:val="0"/>
        <w:wordWrap/>
        <w:overflowPunct/>
        <w:autoSpaceDE/>
        <w:autoSpaceDN/>
        <w:bidi w:val="0"/>
        <w:spacing w:line="530" w:lineRule="exact"/>
        <w:ind w:firstLine="643"/>
        <w:rPr>
          <w:rFonts w:hint="eastAsia"/>
          <w:b/>
          <w:bCs/>
          <w:color w:val="auto"/>
          <w:highlight w:val="none"/>
        </w:rPr>
      </w:pPr>
      <w:r>
        <w:rPr>
          <w:rFonts w:hint="eastAsia"/>
          <w:b/>
          <w:bCs/>
          <w:color w:val="auto"/>
          <w:highlight w:val="none"/>
        </w:rPr>
        <w:t>实施品牌全生命周期赋能计划</w:t>
      </w:r>
      <w:r>
        <w:rPr>
          <w:rFonts w:hint="eastAsia"/>
          <w:b/>
          <w:bCs/>
          <w:color w:val="auto"/>
          <w:highlight w:val="none"/>
          <w:lang w:eastAsia="zh-CN"/>
        </w:rPr>
        <w:t>。</w:t>
      </w:r>
      <w:r>
        <w:rPr>
          <w:rFonts w:hint="eastAsia"/>
          <w:b w:val="0"/>
          <w:bCs w:val="0"/>
          <w:color w:val="auto"/>
          <w:highlight w:val="none"/>
        </w:rPr>
        <w:t>设立品牌初创孵化器，为本土创业者和设计师提供商业策划、品牌定位、视觉设计等一站式服务。定期举办</w:t>
      </w:r>
      <w:r>
        <w:rPr>
          <w:rFonts w:hint="eastAsia"/>
          <w:b w:val="0"/>
          <w:bCs w:val="0"/>
          <w:color w:val="auto"/>
          <w:highlight w:val="none"/>
          <w:lang w:val="en-US" w:eastAsia="zh-CN"/>
        </w:rPr>
        <w:t>品牌塑造培训营</w:t>
      </w:r>
      <w:r>
        <w:rPr>
          <w:rFonts w:hint="eastAsia"/>
          <w:b w:val="0"/>
          <w:bCs w:val="0"/>
          <w:color w:val="auto"/>
          <w:highlight w:val="none"/>
        </w:rPr>
        <w:t>，邀请行业专家、成功企业家进行指导，将创意转化为可行的商业项目。支持老字号品牌“走出去”，组织其参加国内外知名展会，并对接跨境电商渠道，开拓更广阔市场。</w:t>
      </w:r>
    </w:p>
    <w:p>
      <w:pPr>
        <w:pStyle w:val="19"/>
        <w:pageBreakBefore w:val="0"/>
        <w:wordWrap/>
        <w:overflowPunct/>
        <w:autoSpaceDE/>
        <w:autoSpaceDN/>
        <w:bidi w:val="0"/>
        <w:spacing w:line="530" w:lineRule="exact"/>
        <w:ind w:firstLine="643"/>
        <w:rPr>
          <w:rFonts w:hint="eastAsia"/>
          <w:b w:val="0"/>
          <w:bCs w:val="0"/>
          <w:color w:val="auto"/>
          <w:highlight w:val="none"/>
        </w:rPr>
      </w:pPr>
      <w:r>
        <w:rPr>
          <w:rFonts w:hint="eastAsia"/>
          <w:b/>
          <w:bCs/>
          <w:color w:val="auto"/>
          <w:highlight w:val="none"/>
        </w:rPr>
        <w:t>营造品牌共生的生态场景</w:t>
      </w:r>
      <w:r>
        <w:rPr>
          <w:rFonts w:hint="eastAsia"/>
          <w:b/>
          <w:bCs/>
          <w:color w:val="auto"/>
          <w:highlight w:val="none"/>
          <w:lang w:eastAsia="zh-CN"/>
        </w:rPr>
        <w:t>。</w:t>
      </w:r>
      <w:r>
        <w:rPr>
          <w:rFonts w:hint="eastAsia"/>
          <w:b w:val="0"/>
          <w:bCs w:val="0"/>
          <w:color w:val="auto"/>
          <w:highlight w:val="none"/>
        </w:rPr>
        <w:t>打造</w:t>
      </w:r>
      <w:r>
        <w:rPr>
          <w:rFonts w:hint="eastAsia"/>
          <w:b w:val="0"/>
          <w:bCs w:val="0"/>
          <w:color w:val="auto"/>
          <w:highlight w:val="none"/>
          <w:lang w:val="en-US" w:eastAsia="zh-CN"/>
        </w:rPr>
        <w:t>品牌</w:t>
      </w:r>
      <w:r>
        <w:rPr>
          <w:rFonts w:hint="eastAsia"/>
          <w:b w:val="0"/>
          <w:bCs w:val="0"/>
          <w:color w:val="auto"/>
          <w:highlight w:val="none"/>
        </w:rPr>
        <w:t>物理空间</w:t>
      </w:r>
      <w:r>
        <w:rPr>
          <w:rFonts w:hint="eastAsia"/>
          <w:b w:val="0"/>
          <w:bCs w:val="0"/>
          <w:color w:val="auto"/>
          <w:highlight w:val="none"/>
          <w:lang w:eastAsia="zh-CN"/>
        </w:rPr>
        <w:t>，</w:t>
      </w:r>
      <w:r>
        <w:rPr>
          <w:rFonts w:hint="eastAsia"/>
          <w:b w:val="0"/>
          <w:bCs w:val="0"/>
          <w:color w:val="auto"/>
          <w:highlight w:val="none"/>
        </w:rPr>
        <w:t>在核心商街或公园，设立绿园品牌快闪岛，定期轮换展示本土品牌的最新产品，将其打造为常设性的品牌发布与体验平台。在商业综合体内，规划绿园匠心集合区，形成集聚效应。策划</w:t>
      </w:r>
      <w:r>
        <w:rPr>
          <w:rFonts w:hint="eastAsia"/>
          <w:b w:val="0"/>
          <w:bCs w:val="0"/>
          <w:color w:val="auto"/>
          <w:highlight w:val="none"/>
          <w:lang w:val="en-US" w:eastAsia="zh-CN"/>
        </w:rPr>
        <w:t>具有品牌主题的</w:t>
      </w:r>
      <w:r>
        <w:rPr>
          <w:rFonts w:hint="eastAsia"/>
          <w:b w:val="0"/>
          <w:bCs w:val="0"/>
          <w:color w:val="auto"/>
          <w:highlight w:val="none"/>
        </w:rPr>
        <w:t>营销事件</w:t>
      </w:r>
      <w:r>
        <w:rPr>
          <w:rFonts w:hint="eastAsia"/>
          <w:b w:val="0"/>
          <w:bCs w:val="0"/>
          <w:color w:val="auto"/>
          <w:highlight w:val="none"/>
          <w:lang w:eastAsia="zh-CN"/>
        </w:rPr>
        <w:t>，</w:t>
      </w:r>
      <w:r>
        <w:rPr>
          <w:rFonts w:hint="eastAsia"/>
          <w:b w:val="0"/>
          <w:bCs w:val="0"/>
          <w:color w:val="auto"/>
          <w:highlight w:val="none"/>
        </w:rPr>
        <w:t>打造绿园品牌年度盛典，集中开展新品发布、优惠促销、消费者评选等活动，形成强大的品牌声量。</w:t>
      </w:r>
    </w:p>
    <w:p>
      <w:pPr>
        <w:pStyle w:val="19"/>
        <w:pageBreakBefore w:val="0"/>
        <w:wordWrap/>
        <w:overflowPunct/>
        <w:autoSpaceDE/>
        <w:autoSpaceDN/>
        <w:bidi w:val="0"/>
        <w:spacing w:line="530" w:lineRule="exact"/>
        <w:ind w:firstLine="643"/>
        <w:rPr>
          <w:color w:val="auto"/>
          <w:highlight w:val="none"/>
        </w:rPr>
      </w:pPr>
      <w:r>
        <w:rPr>
          <w:rFonts w:hint="eastAsia"/>
          <w:b/>
          <w:bCs/>
          <w:color w:val="auto"/>
          <w:highlight w:val="none"/>
        </w:rPr>
        <w:t>主题IP营销</w:t>
      </w:r>
      <w:r>
        <w:rPr>
          <w:rFonts w:hint="eastAsia"/>
          <w:b/>
          <w:bCs/>
          <w:color w:val="auto"/>
          <w:highlight w:val="none"/>
          <w:lang w:val="en-US" w:eastAsia="zh-CN"/>
        </w:rPr>
        <w:t>战略升级。</w:t>
      </w:r>
      <w:r>
        <w:rPr>
          <w:rFonts w:hint="eastAsia"/>
          <w:color w:val="auto"/>
          <w:highlight w:val="none"/>
        </w:rPr>
        <w:t>打造“绿园消费日历”IP活动矩阵</w:t>
      </w:r>
      <w:r>
        <w:rPr>
          <w:rFonts w:hint="eastAsia"/>
          <w:color w:val="auto"/>
          <w:highlight w:val="none"/>
          <w:lang w:eastAsia="zh-CN"/>
        </w:rPr>
        <w:t>。</w:t>
      </w:r>
      <w:r>
        <w:rPr>
          <w:rFonts w:hint="eastAsia"/>
          <w:color w:val="auto"/>
          <w:highlight w:val="none"/>
          <w:lang w:val="en-US" w:eastAsia="zh-CN"/>
        </w:rPr>
        <w:t>把握</w:t>
      </w:r>
      <w:r>
        <w:rPr>
          <w:rFonts w:hint="eastAsia"/>
          <w:color w:val="auto"/>
          <w:highlight w:val="none"/>
        </w:rPr>
        <w:t>“航</w:t>
      </w:r>
      <w:r>
        <w:rPr>
          <w:rFonts w:hint="eastAsia"/>
          <w:color w:val="auto"/>
          <w:highlight w:val="none"/>
          <w:lang w:val="en-US" w:eastAsia="zh-CN"/>
        </w:rPr>
        <w:t>空</w:t>
      </w:r>
      <w:r>
        <w:rPr>
          <w:rFonts w:hint="eastAsia"/>
          <w:color w:val="auto"/>
          <w:highlight w:val="none"/>
        </w:rPr>
        <w:t>展”</w:t>
      </w:r>
      <w:r>
        <w:rPr>
          <w:rFonts w:hint="eastAsia"/>
          <w:color w:val="auto"/>
          <w:highlight w:val="none"/>
          <w:lang w:val="en-US" w:eastAsia="zh-CN"/>
        </w:rPr>
        <w:t>顶流IP</w:t>
      </w:r>
      <w:r>
        <w:rPr>
          <w:rFonts w:hint="eastAsia"/>
          <w:color w:val="auto"/>
          <w:highlight w:val="none"/>
        </w:rPr>
        <w:t>，整合航空主题市集、飞行模拟体验、航空文创首发等，形成全域消费焦点。系统规划主题消费活动，</w:t>
      </w:r>
      <w:r>
        <w:rPr>
          <w:rFonts w:hint="eastAsia"/>
          <w:color w:val="auto"/>
          <w:highlight w:val="none"/>
          <w:lang w:val="en-US" w:eastAsia="zh-CN"/>
        </w:rPr>
        <w:t>保障</w:t>
      </w:r>
      <w:r>
        <w:rPr>
          <w:rFonts w:hint="eastAsia"/>
          <w:color w:val="auto"/>
          <w:highlight w:val="none"/>
        </w:rPr>
        <w:t>“月月有主题，季季有热点”。为不同商街量身定制专属活动</w:t>
      </w:r>
      <w:r>
        <w:rPr>
          <w:rFonts w:hint="eastAsia"/>
          <w:color w:val="auto"/>
          <w:highlight w:val="none"/>
          <w:lang w:eastAsia="zh-CN"/>
        </w:rPr>
        <w:t>，</w:t>
      </w:r>
      <w:r>
        <w:rPr>
          <w:rFonts w:hint="eastAsia"/>
          <w:color w:val="auto"/>
          <w:highlight w:val="none"/>
          <w:lang w:val="en-US" w:eastAsia="zh-CN"/>
        </w:rPr>
        <w:t>主办</w:t>
      </w:r>
      <w:r>
        <w:rPr>
          <w:rFonts w:hint="eastAsia"/>
          <w:color w:val="auto"/>
          <w:highlight w:val="none"/>
        </w:rPr>
        <w:t>老字号非遗市集</w:t>
      </w:r>
      <w:r>
        <w:rPr>
          <w:rFonts w:hint="eastAsia"/>
          <w:color w:val="auto"/>
          <w:highlight w:val="none"/>
          <w:lang w:eastAsia="zh-CN"/>
        </w:rPr>
        <w:t>、</w:t>
      </w:r>
      <w:r>
        <w:rPr>
          <w:rFonts w:hint="eastAsia"/>
          <w:color w:val="auto"/>
          <w:highlight w:val="none"/>
        </w:rPr>
        <w:t>跨年灯光</w:t>
      </w:r>
      <w:r>
        <w:rPr>
          <w:rFonts w:hint="eastAsia"/>
          <w:color w:val="auto"/>
          <w:highlight w:val="none"/>
          <w:lang w:val="en-US" w:eastAsia="zh-CN"/>
        </w:rPr>
        <w:t>秀、</w:t>
      </w:r>
      <w:r>
        <w:rPr>
          <w:rFonts w:hint="eastAsia"/>
          <w:color w:val="auto"/>
          <w:highlight w:val="none"/>
        </w:rPr>
        <w:t>街头艺术潮玩周</w:t>
      </w:r>
      <w:r>
        <w:rPr>
          <w:rFonts w:hint="eastAsia"/>
          <w:color w:val="auto"/>
          <w:highlight w:val="none"/>
          <w:lang w:val="en-US" w:eastAsia="zh-CN"/>
        </w:rPr>
        <w:t>等活动，</w:t>
      </w:r>
      <w:r>
        <w:rPr>
          <w:rFonts w:hint="eastAsia"/>
          <w:color w:val="auto"/>
          <w:highlight w:val="none"/>
        </w:rPr>
        <w:t>避免千街一面，形成差异化吸引力。</w:t>
      </w:r>
    </w:p>
    <w:p>
      <w:pPr>
        <w:pStyle w:val="4"/>
        <w:pageBreakBefore w:val="0"/>
        <w:wordWrap/>
        <w:overflowPunct/>
        <w:autoSpaceDE/>
        <w:autoSpaceDN/>
        <w:bidi w:val="0"/>
        <w:spacing w:line="530" w:lineRule="exact"/>
        <w:rPr>
          <w:rFonts w:hint="default"/>
          <w:color w:val="auto"/>
          <w:highlight w:val="none"/>
        </w:rPr>
      </w:pPr>
      <w:bookmarkStart w:id="326" w:name="_Toc1572722803"/>
      <w:bookmarkStart w:id="327" w:name="_Toc1866765157"/>
      <w:bookmarkStart w:id="328" w:name="_Toc1338911388"/>
      <w:bookmarkStart w:id="329" w:name="_Toc1928859825"/>
      <w:r>
        <w:rPr>
          <w:rFonts w:hint="eastAsia"/>
          <w:color w:val="auto"/>
          <w:highlight w:val="none"/>
          <w:lang w:val="en-US" w:eastAsia="zh-CN"/>
        </w:rPr>
        <w:t>优化治理监督模式</w:t>
      </w:r>
      <w:bookmarkEnd w:id="326"/>
      <w:bookmarkEnd w:id="327"/>
      <w:bookmarkEnd w:id="328"/>
      <w:bookmarkEnd w:id="329"/>
    </w:p>
    <w:p>
      <w:pPr>
        <w:pStyle w:val="19"/>
        <w:pageBreakBefore w:val="0"/>
        <w:wordWrap/>
        <w:overflowPunct/>
        <w:autoSpaceDE/>
        <w:autoSpaceDN/>
        <w:bidi w:val="0"/>
        <w:spacing w:line="530" w:lineRule="exact"/>
        <w:ind w:firstLine="643"/>
        <w:rPr>
          <w:rFonts w:hint="eastAsia"/>
          <w:b w:val="0"/>
          <w:bCs w:val="0"/>
          <w:color w:val="auto"/>
          <w:highlight w:val="none"/>
        </w:rPr>
      </w:pPr>
      <w:r>
        <w:rPr>
          <w:rFonts w:hint="eastAsia"/>
          <w:b/>
          <w:bCs/>
          <w:color w:val="auto"/>
          <w:highlight w:val="none"/>
          <w:lang w:val="en-US" w:eastAsia="zh-CN"/>
        </w:rPr>
        <w:t>推动多维监管</w:t>
      </w:r>
      <w:r>
        <w:rPr>
          <w:rFonts w:hint="eastAsia"/>
          <w:b/>
          <w:bCs/>
          <w:color w:val="auto"/>
          <w:highlight w:val="none"/>
          <w:lang w:eastAsia="zh-CN"/>
        </w:rPr>
        <w:t>。</w:t>
      </w:r>
      <w:r>
        <w:rPr>
          <w:rFonts w:hint="eastAsia"/>
          <w:b w:val="0"/>
          <w:bCs w:val="0"/>
          <w:color w:val="auto"/>
          <w:highlight w:val="none"/>
        </w:rPr>
        <w:t>整合市场监管、税务、消防、环保等多部门数据，运用大数据和AI算法，实现对消费纠纷高发领域、食品安全风险、价格违法</w:t>
      </w:r>
      <w:r>
        <w:rPr>
          <w:rFonts w:hint="eastAsia"/>
          <w:b w:val="0"/>
          <w:bCs w:val="0"/>
          <w:color w:val="auto"/>
          <w:highlight w:val="none"/>
          <w:lang w:eastAsia="zh-CN"/>
        </w:rPr>
        <w:t>等</w:t>
      </w:r>
      <w:r>
        <w:rPr>
          <w:rFonts w:hint="eastAsia"/>
          <w:b w:val="0"/>
          <w:bCs w:val="0"/>
          <w:color w:val="auto"/>
          <w:highlight w:val="none"/>
        </w:rPr>
        <w:t>线索的智能预警。变“人海战术”为“数据跑路”，实现从“事后处罚”到“事前预警、事中干预”的转变。</w:t>
      </w:r>
    </w:p>
    <w:p>
      <w:pPr>
        <w:pStyle w:val="19"/>
        <w:pageBreakBefore w:val="0"/>
        <w:wordWrap/>
        <w:overflowPunct/>
        <w:autoSpaceDE/>
        <w:autoSpaceDN/>
        <w:bidi w:val="0"/>
        <w:spacing w:line="530" w:lineRule="exact"/>
        <w:ind w:firstLine="643"/>
        <w:rPr>
          <w:rFonts w:hint="eastAsia"/>
          <w:b w:val="0"/>
          <w:bCs w:val="0"/>
          <w:color w:val="auto"/>
          <w:highlight w:val="none"/>
          <w:lang w:eastAsia="zh-CN"/>
        </w:rPr>
      </w:pPr>
      <w:r>
        <w:rPr>
          <w:rFonts w:hint="eastAsia"/>
          <w:b/>
          <w:bCs/>
          <w:color w:val="auto"/>
          <w:highlight w:val="none"/>
        </w:rPr>
        <w:t>推动多元共治</w:t>
      </w:r>
      <w:r>
        <w:rPr>
          <w:rFonts w:hint="eastAsia"/>
          <w:b/>
          <w:bCs/>
          <w:color w:val="auto"/>
          <w:highlight w:val="none"/>
          <w:lang w:eastAsia="zh-CN"/>
        </w:rPr>
        <w:t>。</w:t>
      </w:r>
      <w:r>
        <w:rPr>
          <w:rFonts w:hint="eastAsia"/>
          <w:b w:val="0"/>
          <w:bCs w:val="0"/>
          <w:color w:val="auto"/>
          <w:highlight w:val="none"/>
        </w:rPr>
        <w:t>由政府监管部门、行业协会、律师、媒体代表、消费者代表</w:t>
      </w:r>
      <w:r>
        <w:rPr>
          <w:rFonts w:hint="eastAsia"/>
          <w:b w:val="0"/>
          <w:bCs w:val="0"/>
          <w:color w:val="auto"/>
          <w:highlight w:val="none"/>
          <w:lang w:val="en-US" w:eastAsia="zh-CN"/>
        </w:rPr>
        <w:t>组成消费环境共治小组</w:t>
      </w:r>
      <w:r>
        <w:rPr>
          <w:rFonts w:hint="eastAsia"/>
          <w:b w:val="0"/>
          <w:bCs w:val="0"/>
          <w:color w:val="auto"/>
          <w:highlight w:val="none"/>
        </w:rPr>
        <w:t>，定期召开联席会议，对消费环境重大政策、典型案件进行评议，形成社会监督合力。全面推广“ODR在线纠纷解决”机制</w:t>
      </w:r>
      <w:r>
        <w:rPr>
          <w:rFonts w:hint="eastAsia"/>
          <w:b w:val="0"/>
          <w:bCs w:val="0"/>
          <w:color w:val="auto"/>
          <w:highlight w:val="none"/>
          <w:lang w:eastAsia="zh-CN"/>
        </w:rPr>
        <w:t>，</w:t>
      </w:r>
      <w:r>
        <w:rPr>
          <w:rFonts w:hint="eastAsia"/>
          <w:b w:val="0"/>
          <w:bCs w:val="0"/>
          <w:color w:val="auto"/>
          <w:highlight w:val="none"/>
        </w:rPr>
        <w:t>鼓励并引导商户入驻全国</w:t>
      </w:r>
      <w:r>
        <w:rPr>
          <w:rFonts w:hint="eastAsia" w:ascii="Times New Roman" w:hAnsi="Times New Roman"/>
          <w:b w:val="0"/>
          <w:bCs w:val="0"/>
          <w:i w:val="0"/>
          <w:color w:val="auto"/>
          <w:highlight w:val="none"/>
        </w:rPr>
        <w:t>12315</w:t>
      </w:r>
      <w:r>
        <w:rPr>
          <w:rFonts w:hint="eastAsia"/>
          <w:b w:val="0"/>
          <w:bCs w:val="0"/>
          <w:color w:val="auto"/>
          <w:highlight w:val="none"/>
        </w:rPr>
        <w:t>平台的ODR系统，推动消费纠纷绿色直通、云端和解</w:t>
      </w:r>
      <w:r>
        <w:rPr>
          <w:rFonts w:hint="eastAsia"/>
          <w:b w:val="0"/>
          <w:bCs w:val="0"/>
          <w:color w:val="auto"/>
          <w:highlight w:val="none"/>
          <w:lang w:eastAsia="zh-CN"/>
        </w:rPr>
        <w:t>。</w:t>
      </w:r>
    </w:p>
    <w:p>
      <w:pPr>
        <w:pStyle w:val="4"/>
        <w:pageBreakBefore w:val="0"/>
        <w:wordWrap/>
        <w:overflowPunct/>
        <w:autoSpaceDE/>
        <w:autoSpaceDN/>
        <w:bidi w:val="0"/>
        <w:spacing w:line="530" w:lineRule="exact"/>
        <w:rPr>
          <w:rFonts w:hint="eastAsia"/>
          <w:color w:val="auto"/>
          <w:highlight w:val="none"/>
          <w:lang w:eastAsia="zh-CN"/>
        </w:rPr>
      </w:pPr>
      <w:r>
        <w:rPr>
          <w:rFonts w:hint="eastAsia"/>
          <w:color w:val="auto"/>
          <w:highlight w:val="none"/>
        </w:rPr>
        <w:t>融入全国统一大市场建设</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严格落实公平竞争审查</w:t>
      </w:r>
      <w:r>
        <w:rPr>
          <w:rFonts w:hint="eastAsia"/>
          <w:b/>
          <w:bCs/>
          <w:color w:val="auto"/>
          <w:highlight w:val="none"/>
          <w:lang w:eastAsia="zh-CN"/>
        </w:rPr>
        <w:t>制度</w:t>
      </w:r>
      <w:r>
        <w:rPr>
          <w:rFonts w:hint="eastAsia"/>
          <w:b/>
          <w:bCs/>
          <w:color w:val="auto"/>
          <w:highlight w:val="none"/>
        </w:rPr>
        <w:t>。</w:t>
      </w:r>
      <w:r>
        <w:rPr>
          <w:rFonts w:hint="eastAsia"/>
          <w:color w:val="auto"/>
          <w:highlight w:val="none"/>
        </w:rPr>
        <w:t>在制度层面主动对标，清理可能隐含地方保护、市场分割性质的政策条款，大力深化“放管服”改革，</w:t>
      </w:r>
      <w:r>
        <w:rPr>
          <w:rFonts w:hint="eastAsia"/>
          <w:color w:val="auto"/>
          <w:highlight w:val="none"/>
          <w:lang w:val="en-US" w:eastAsia="zh-CN"/>
        </w:rPr>
        <w:t>推动</w:t>
      </w:r>
      <w:r>
        <w:rPr>
          <w:rFonts w:hint="eastAsia"/>
          <w:color w:val="auto"/>
          <w:highlight w:val="none"/>
        </w:rPr>
        <w:t>高效便捷</w:t>
      </w:r>
      <w:r>
        <w:rPr>
          <w:rFonts w:hint="eastAsia"/>
          <w:color w:val="auto"/>
          <w:highlight w:val="none"/>
          <w:lang w:val="en-US" w:eastAsia="zh-CN"/>
        </w:rPr>
        <w:t>的</w:t>
      </w:r>
      <w:r>
        <w:rPr>
          <w:rFonts w:hint="eastAsia"/>
          <w:color w:val="auto"/>
          <w:highlight w:val="none"/>
        </w:rPr>
        <w:t>政务服务，与主要目标市场城市建立</w:t>
      </w:r>
      <w:r>
        <w:rPr>
          <w:rFonts w:hint="eastAsia"/>
          <w:color w:val="auto"/>
          <w:highlight w:val="none"/>
          <w:lang w:val="en-US" w:eastAsia="zh-CN"/>
        </w:rPr>
        <w:t>工作</w:t>
      </w:r>
      <w:r>
        <w:rPr>
          <w:rFonts w:hint="eastAsia"/>
          <w:color w:val="auto"/>
          <w:highlight w:val="none"/>
        </w:rPr>
        <w:t>协作机制，降低企业在跨区域经营中面临的制度性交易成本，</w:t>
      </w:r>
      <w:r>
        <w:rPr>
          <w:rFonts w:hint="eastAsia"/>
          <w:color w:val="auto"/>
          <w:highlight w:val="none"/>
          <w:lang w:val="en-US" w:eastAsia="zh-CN"/>
        </w:rPr>
        <w:t>在基层层面落实</w:t>
      </w:r>
      <w:r>
        <w:rPr>
          <w:rFonts w:hint="eastAsia"/>
          <w:color w:val="auto"/>
          <w:highlight w:val="none"/>
        </w:rPr>
        <w:t>规则统一。</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锻造服务全国市场的关键供应链节点。</w:t>
      </w:r>
      <w:r>
        <w:rPr>
          <w:rFonts w:hint="eastAsia"/>
          <w:color w:val="auto"/>
          <w:highlight w:val="none"/>
        </w:rPr>
        <w:t>围绕汽车、轨道交通等核心优势产业，从单纯服务本地龙头企业，升级为赋能整个产业链融入全国网络。</w:t>
      </w:r>
      <w:r>
        <w:rPr>
          <w:rFonts w:hint="eastAsia"/>
          <w:color w:val="auto"/>
          <w:highlight w:val="none"/>
          <w:lang w:val="en-US" w:eastAsia="zh-CN"/>
        </w:rPr>
        <w:t>积极推动</w:t>
      </w:r>
      <w:r>
        <w:rPr>
          <w:rFonts w:hint="eastAsia"/>
          <w:color w:val="auto"/>
          <w:highlight w:val="none"/>
        </w:rPr>
        <w:t>技术、数据等要素的区域性共享平台</w:t>
      </w:r>
      <w:r>
        <w:rPr>
          <w:rFonts w:hint="eastAsia"/>
          <w:color w:val="auto"/>
          <w:highlight w:val="none"/>
          <w:lang w:val="en-US" w:eastAsia="zh-CN"/>
        </w:rPr>
        <w:t>搭建</w:t>
      </w:r>
      <w:r>
        <w:rPr>
          <w:rFonts w:hint="eastAsia"/>
          <w:color w:val="auto"/>
          <w:highlight w:val="none"/>
        </w:rPr>
        <w:t>，支持本地优质</w:t>
      </w:r>
      <w:r>
        <w:rPr>
          <w:rFonts w:hint="eastAsia"/>
          <w:color w:val="auto"/>
          <w:highlight w:val="none"/>
          <w:lang w:eastAsia="zh-CN"/>
        </w:rPr>
        <w:t>企业“走出去”</w:t>
      </w:r>
      <w:r>
        <w:rPr>
          <w:rFonts w:hint="eastAsia"/>
          <w:color w:val="auto"/>
          <w:highlight w:val="none"/>
        </w:rPr>
        <w:t>，将绿园区嵌入全国乃至全球的产业循环</w:t>
      </w:r>
      <w:r>
        <w:rPr>
          <w:rFonts w:hint="eastAsia"/>
          <w:color w:val="auto"/>
          <w:highlight w:val="none"/>
          <w:lang w:val="en-US" w:eastAsia="zh-CN"/>
        </w:rPr>
        <w:t>链条</w:t>
      </w:r>
      <w:r>
        <w:rPr>
          <w:rFonts w:hint="eastAsia"/>
          <w:color w:val="auto"/>
          <w:highlight w:val="none"/>
        </w:rPr>
        <w:t>。</w:t>
      </w:r>
    </w:p>
    <w:p>
      <w:pPr>
        <w:pStyle w:val="3"/>
        <w:pageBreakBefore w:val="0"/>
        <w:wordWrap/>
        <w:overflowPunct/>
        <w:autoSpaceDE/>
        <w:autoSpaceDN/>
        <w:bidi w:val="0"/>
        <w:spacing w:line="530" w:lineRule="exact"/>
        <w:rPr>
          <w:color w:val="auto"/>
          <w:highlight w:val="none"/>
        </w:rPr>
      </w:pPr>
      <w:bookmarkStart w:id="330" w:name="_Toc1488514648"/>
      <w:bookmarkStart w:id="331" w:name="_Toc91583574"/>
      <w:bookmarkStart w:id="332" w:name="_Toc1784783231"/>
      <w:bookmarkStart w:id="333" w:name="_Toc1750044850"/>
      <w:bookmarkStart w:id="334" w:name="_Toc2133394676"/>
      <w:bookmarkStart w:id="335" w:name="_Toc1523422745"/>
      <w:bookmarkStart w:id="336" w:name="_Toc1490702050"/>
      <w:bookmarkStart w:id="337" w:name="_Toc2081427310"/>
      <w:r>
        <w:rPr>
          <w:color w:val="auto"/>
          <w:highlight w:val="none"/>
        </w:rPr>
        <w:t>精准扩大有效投资</w:t>
      </w:r>
      <w:bookmarkEnd w:id="321"/>
      <w:bookmarkEnd w:id="330"/>
      <w:bookmarkEnd w:id="331"/>
      <w:bookmarkEnd w:id="332"/>
      <w:bookmarkEnd w:id="333"/>
      <w:bookmarkEnd w:id="334"/>
      <w:bookmarkEnd w:id="335"/>
      <w:bookmarkEnd w:id="336"/>
      <w:bookmarkEnd w:id="337"/>
    </w:p>
    <w:p>
      <w:pPr>
        <w:pStyle w:val="4"/>
        <w:pageBreakBefore w:val="0"/>
        <w:wordWrap/>
        <w:overflowPunct/>
        <w:autoSpaceDE/>
        <w:autoSpaceDN/>
        <w:bidi w:val="0"/>
        <w:spacing w:line="530" w:lineRule="exact"/>
        <w:rPr>
          <w:color w:val="auto"/>
          <w:highlight w:val="none"/>
        </w:rPr>
      </w:pPr>
      <w:bookmarkStart w:id="338" w:name="_Toc40189540"/>
      <w:bookmarkStart w:id="339" w:name="_Toc1577349220"/>
      <w:bookmarkStart w:id="340" w:name="_Toc1067764638"/>
      <w:bookmarkStart w:id="341" w:name="_Toc1866035681"/>
      <w:r>
        <w:rPr>
          <w:color w:val="auto"/>
          <w:highlight w:val="none"/>
        </w:rPr>
        <w:t>着力拓展投资空间</w:t>
      </w:r>
      <w:bookmarkEnd w:id="338"/>
      <w:bookmarkEnd w:id="339"/>
      <w:bookmarkEnd w:id="340"/>
      <w:bookmarkEnd w:id="341"/>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挖掘重点领域投资潜力。</w:t>
      </w:r>
      <w:r>
        <w:rPr>
          <w:color w:val="auto"/>
          <w:highlight w:val="none"/>
        </w:rPr>
        <w:t>做强主导产业，提升集聚效应，以“</w:t>
      </w:r>
      <w:r>
        <w:rPr>
          <w:rFonts w:hint="eastAsia" w:ascii="Times New Roman" w:hAnsi="Times New Roman"/>
          <w:b w:val="0"/>
          <w:i w:val="0"/>
          <w:color w:val="auto"/>
          <w:highlight w:val="none"/>
          <w:lang w:val="en-US" w:eastAsia="zh-CN"/>
        </w:rPr>
        <w:t>四</w:t>
      </w:r>
      <w:r>
        <w:rPr>
          <w:rFonts w:hint="eastAsia"/>
          <w:color w:val="auto"/>
          <w:highlight w:val="none"/>
          <w:lang w:val="en-US" w:eastAsia="zh-CN"/>
        </w:rPr>
        <w:t>链、七赛道</w:t>
      </w:r>
      <w:r>
        <w:rPr>
          <w:color w:val="auto"/>
          <w:highlight w:val="none"/>
        </w:rPr>
        <w:t>”为核心的产业体系延长产业链条，支持传统零部件企业技改升级、提升本地配套率和价值链地位。提升现代服务业的投资空间，打造区域消费中心节点，吸引多样化投资。在数字经济方面，布局大数据、物联网、人工智能应用场景，推动“产业数字化”和“数字产业化”，吸引数据中心、算力中心、工业互联网平台、智慧城市应用项目。</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拓展物理投资空间。</w:t>
      </w:r>
      <w:r>
        <w:rPr>
          <w:color w:val="auto"/>
          <w:highlight w:val="none"/>
        </w:rPr>
        <w:t>推进城市更新与低效用地再开发，对老旧厂区、棚户区进行改造，对闲置、低效的工业厂房、棚户区进行盘活，通过功能置换或升级重建，释放核心区域土地价值。“腾笼换鸟”建立低效用地退出机制，清理“僵尸企业”，腾出空间用于引进高附加值、高成长性项目。加速地下空间开发，在条件允许区域，科学规划利用地下空间，用于商业、停车、仓储、市政设施等。推广标准化厂房，建设多层、定制化或通用型标准厂房，满足中小企业和快速落地项目的需求，缩短建设周期。</w:t>
      </w:r>
    </w:p>
    <w:p>
      <w:pPr>
        <w:pStyle w:val="4"/>
        <w:pageBreakBefore w:val="0"/>
        <w:wordWrap/>
        <w:overflowPunct/>
        <w:autoSpaceDE/>
        <w:autoSpaceDN/>
        <w:bidi w:val="0"/>
        <w:spacing w:line="530" w:lineRule="exact"/>
        <w:rPr>
          <w:color w:val="auto"/>
          <w:highlight w:val="none"/>
        </w:rPr>
      </w:pPr>
      <w:bookmarkStart w:id="342" w:name="_Toc1155733622"/>
      <w:bookmarkStart w:id="343" w:name="_Toc1970201972"/>
      <w:bookmarkStart w:id="344" w:name="_Toc1546916534"/>
      <w:bookmarkStart w:id="345" w:name="_Toc610509779"/>
      <w:r>
        <w:rPr>
          <w:color w:val="auto"/>
          <w:highlight w:val="none"/>
        </w:rPr>
        <w:t>加大产业投资力度</w:t>
      </w:r>
      <w:bookmarkEnd w:id="342"/>
      <w:bookmarkEnd w:id="343"/>
      <w:bookmarkEnd w:id="344"/>
      <w:bookmarkEnd w:id="345"/>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强化政府投资引领。</w:t>
      </w:r>
      <w:r>
        <w:rPr>
          <w:color w:val="auto"/>
          <w:highlight w:val="none"/>
        </w:rPr>
        <w:t>扩大政府投资规模与精准度，在预算中优先保障基础设施、民生短板等重大战略项目，对关键领域给予倾斜。全力争取上级资金，紧盯中央预算内投资、专项债券、超长期国债等政策窗口，建立“专班+专家”项目包装团队，提升项目申报竞争力。优化政府投资方式，从“直接拨款”转向“资本金注入+贴息补助”，放大财政资金杠杆。</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激发民间投资活力。</w:t>
      </w:r>
      <w:r>
        <w:rPr>
          <w:color w:val="auto"/>
          <w:highlight w:val="none"/>
        </w:rPr>
        <w:t>推广“政府+社会资本”深度合作，</w:t>
      </w:r>
      <w:r>
        <w:rPr>
          <w:rFonts w:hint="eastAsia"/>
          <w:color w:val="auto"/>
          <w:highlight w:val="none"/>
        </w:rPr>
        <w:t>强化PPP新机制模式在污水处理、智慧停车、职业教育等领域应用，推出预期高回报项目</w:t>
      </w:r>
      <w:r>
        <w:rPr>
          <w:color w:val="auto"/>
          <w:highlight w:val="none"/>
        </w:rPr>
        <w:t>，建立风险共担、收益共享机制。探索ABO（授权</w:t>
      </w:r>
      <w:r>
        <w:rPr>
          <w:rFonts w:hint="eastAsia" w:ascii="Times New Roman" w:hAnsi="Times New Roman"/>
          <w:color w:val="auto"/>
          <w:highlight w:val="none"/>
          <w:lang w:eastAsia="zh-CN"/>
        </w:rPr>
        <w:t>―</w:t>
      </w:r>
      <w:r>
        <w:rPr>
          <w:color w:val="auto"/>
          <w:highlight w:val="none"/>
        </w:rPr>
        <w:t>建设</w:t>
      </w:r>
      <w:r>
        <w:rPr>
          <w:rFonts w:hint="eastAsia" w:ascii="Times New Roman" w:hAnsi="Times New Roman"/>
          <w:color w:val="auto"/>
          <w:highlight w:val="none"/>
          <w:lang w:eastAsia="zh-CN"/>
        </w:rPr>
        <w:t>―</w:t>
      </w:r>
      <w:r>
        <w:rPr>
          <w:color w:val="auto"/>
          <w:highlight w:val="none"/>
        </w:rPr>
        <w:t>运营）、TOD（轨交导向开发）模式，吸引民企参与片区综合开发。降低投资成本与风险，对重点民间投资项目实行“用地、用能、环评”优先保障，探索“标准地+承诺制”极简审批。</w:t>
      </w:r>
    </w:p>
    <w:p>
      <w:pPr>
        <w:pStyle w:val="4"/>
        <w:pageBreakBefore w:val="0"/>
        <w:wordWrap/>
        <w:overflowPunct/>
        <w:autoSpaceDE/>
        <w:autoSpaceDN/>
        <w:bidi w:val="0"/>
        <w:spacing w:line="530" w:lineRule="exact"/>
        <w:rPr>
          <w:color w:val="auto"/>
          <w:highlight w:val="none"/>
        </w:rPr>
      </w:pPr>
      <w:bookmarkStart w:id="346" w:name="_Toc160990287"/>
      <w:bookmarkStart w:id="347" w:name="_Toc1589156356"/>
      <w:bookmarkStart w:id="348" w:name="_Toc1134190311"/>
      <w:bookmarkStart w:id="349" w:name="_Toc425397839"/>
      <w:r>
        <w:rPr>
          <w:color w:val="auto"/>
          <w:highlight w:val="none"/>
        </w:rPr>
        <w:t>强化重大项目推进</w:t>
      </w:r>
      <w:bookmarkEnd w:id="346"/>
      <w:bookmarkEnd w:id="347"/>
      <w:bookmarkEnd w:id="348"/>
      <w:bookmarkEnd w:id="349"/>
    </w:p>
    <w:p>
      <w:pPr>
        <w:pStyle w:val="19"/>
        <w:pageBreakBefore w:val="0"/>
        <w:wordWrap/>
        <w:overflowPunct/>
        <w:autoSpaceDE/>
        <w:autoSpaceDN/>
        <w:bidi w:val="0"/>
        <w:spacing w:line="530" w:lineRule="exact"/>
        <w:ind w:firstLine="643"/>
        <w:rPr>
          <w:rFonts w:hint="default"/>
          <w:b/>
          <w:bCs/>
          <w:color w:val="auto"/>
          <w:highlight w:val="none"/>
        </w:rPr>
      </w:pPr>
      <w:r>
        <w:rPr>
          <w:b/>
          <w:bCs/>
          <w:color w:val="auto"/>
          <w:highlight w:val="none"/>
        </w:rPr>
        <w:t>强化项目谋划与储备。</w:t>
      </w:r>
      <w:r>
        <w:rPr>
          <w:color w:val="auto"/>
          <w:highlight w:val="none"/>
        </w:rPr>
        <w:t>建立动态优质项目库，深入研究国家、省、市产业政策和投资方向，结合绿园自身禀赋和发展战略，超前谋划一批补短板、强弱项、增后劲、利长远的重大项目。</w:t>
      </w:r>
      <w:r>
        <w:rPr>
          <w:rFonts w:hint="eastAsia"/>
          <w:color w:val="auto"/>
          <w:highlight w:val="none"/>
        </w:rPr>
        <w:t>变“普惠招商”为“生态招商”</w:t>
      </w:r>
      <w:r>
        <w:rPr>
          <w:rFonts w:hint="eastAsia"/>
          <w:color w:val="auto"/>
          <w:highlight w:val="none"/>
          <w:lang w:eastAsia="zh-CN"/>
        </w:rPr>
        <w:t>，</w:t>
      </w:r>
      <w:r>
        <w:rPr>
          <w:rFonts w:hint="eastAsia"/>
          <w:color w:val="auto"/>
          <w:highlight w:val="none"/>
        </w:rPr>
        <w:t>绘制动态的“产业链数字招商地图”，清晰标识绿园区的产业链薄弱环节和缺失的高附加值节点，按图索骥、靶向引进。积极在长三角、粤港澳等创新高地设立“飞地园区”或反向孵化器，实现“研发孵化在外地、产业化在绿园”的协同创新。</w:t>
      </w:r>
      <w:r>
        <w:rPr>
          <w:color w:val="auto"/>
          <w:highlight w:val="none"/>
        </w:rPr>
        <w:t>发挥现有龙头企业、行业协会、商会、专业中介机构的作用，拓展项目信息来源和落地渠道，精心策划参与重大展会、论坛、推介会，展示绿园投资环境和发展机遇。</w:t>
      </w:r>
    </w:p>
    <w:p>
      <w:pPr>
        <w:pStyle w:val="19"/>
        <w:pageBreakBefore w:val="0"/>
        <w:wordWrap/>
        <w:overflowPunct/>
        <w:autoSpaceDE/>
        <w:autoSpaceDN/>
        <w:bidi w:val="0"/>
        <w:spacing w:line="530" w:lineRule="exact"/>
        <w:ind w:firstLine="643"/>
        <w:rPr>
          <w:rFonts w:hint="eastAsia" w:ascii="仿宋" w:hAnsi="仿宋" w:eastAsia="仿宋" w:cs="仿宋"/>
          <w:color w:val="auto"/>
          <w:highlight w:val="none"/>
          <w:lang w:val="en-US" w:eastAsia="zh-CN"/>
        </w:rPr>
      </w:pPr>
      <w:r>
        <w:rPr>
          <w:rFonts w:hint="eastAsia"/>
          <w:b/>
          <w:bCs/>
          <w:color w:val="auto"/>
          <w:highlight w:val="none"/>
          <w:lang w:val="en-US" w:eastAsia="zh-CN"/>
        </w:rPr>
        <w:t>优化</w:t>
      </w:r>
      <w:r>
        <w:rPr>
          <w:rFonts w:hint="default" w:eastAsia="仿宋_GB2312"/>
          <w:b/>
          <w:bCs/>
          <w:color w:val="auto"/>
          <w:highlight w:val="none"/>
          <w:lang w:val="en-US" w:eastAsia="zh-CN"/>
        </w:rPr>
        <w:t>管理全周期服务</w:t>
      </w:r>
      <w:r>
        <w:rPr>
          <w:rFonts w:hint="eastAsia"/>
          <w:b/>
          <w:bCs/>
          <w:color w:val="auto"/>
          <w:highlight w:val="none"/>
          <w:lang w:val="en-US" w:eastAsia="zh-CN"/>
        </w:rPr>
        <w:t>。</w:t>
      </w:r>
      <w:r>
        <w:rPr>
          <w:rFonts w:hint="eastAsia"/>
          <w:color w:val="auto"/>
          <w:highlight w:val="none"/>
          <w:lang w:val="en-US" w:eastAsia="zh-CN"/>
        </w:rPr>
        <w:t>将</w:t>
      </w:r>
      <w:r>
        <w:rPr>
          <w:rFonts w:hint="eastAsia" w:ascii="仿宋" w:hAnsi="仿宋" w:eastAsia="仿宋" w:cs="仿宋"/>
          <w:color w:val="auto"/>
          <w:highlight w:val="none"/>
          <w:lang w:val="en-US" w:eastAsia="zh-CN"/>
        </w:rPr>
        <w:t>“被动审批”变为“主动护航”，实施“项目全周期数字化管理”，为每个重大项目建立从签约、开工、竣工到投产的线上档案，并在关键节点设置超期自动预警。针对项目推进中的堵点，建立“分级预警与顶格协调”机制，问题一经触发，即按预设路径逐级上报直至由区主要领导顶格协调，确保快速打通。同时，引入“第三方项目健康度评估”，定期对项目的投资强度、技术先进性、市场前景进行独立评价，为精准施策提供科学依据。</w:t>
      </w:r>
    </w:p>
    <w:p>
      <w:pPr>
        <w:pStyle w:val="19"/>
        <w:pageBreakBefore w:val="0"/>
        <w:wordWrap/>
        <w:overflowPunct/>
        <w:autoSpaceDE/>
        <w:autoSpaceDN/>
        <w:bidi w:val="0"/>
        <w:spacing w:line="530" w:lineRule="exact"/>
        <w:rPr>
          <w:rFonts w:hint="default"/>
          <w:color w:val="auto"/>
          <w:highlight w:val="none"/>
          <w:lang w:val="en-US" w:eastAsia="zh-CN"/>
        </w:rPr>
      </w:pPr>
      <w:r>
        <w:rPr>
          <w:rFonts w:hint="default"/>
          <w:b/>
          <w:bCs/>
          <w:color w:val="auto"/>
          <w:highlight w:val="none"/>
          <w:lang w:val="en-US" w:eastAsia="zh-CN"/>
        </w:rPr>
        <w:t>强化要素精准供给</w:t>
      </w:r>
      <w:r>
        <w:rPr>
          <w:rFonts w:hint="eastAsia"/>
          <w:b/>
          <w:bCs/>
          <w:color w:val="auto"/>
          <w:highlight w:val="none"/>
          <w:lang w:val="en-US" w:eastAsia="zh-CN"/>
        </w:rPr>
        <w:t>。</w:t>
      </w:r>
      <w:r>
        <w:rPr>
          <w:rFonts w:hint="eastAsia"/>
          <w:color w:val="auto"/>
          <w:highlight w:val="none"/>
          <w:lang w:val="en-US" w:eastAsia="zh-CN"/>
        </w:rPr>
        <w:t>以</w:t>
      </w:r>
      <w:r>
        <w:rPr>
          <w:rFonts w:hint="default"/>
          <w:color w:val="auto"/>
          <w:highlight w:val="none"/>
          <w:lang w:val="en-US" w:eastAsia="zh-CN"/>
        </w:rPr>
        <w:t>“按需匹配”</w:t>
      </w:r>
      <w:r>
        <w:rPr>
          <w:rFonts w:hint="eastAsia"/>
          <w:color w:val="auto"/>
          <w:highlight w:val="none"/>
          <w:lang w:val="en-US" w:eastAsia="zh-CN"/>
        </w:rPr>
        <w:t>为目标，在</w:t>
      </w:r>
      <w:r>
        <w:rPr>
          <w:rFonts w:hint="default"/>
          <w:color w:val="auto"/>
          <w:highlight w:val="none"/>
          <w:lang w:val="en-US" w:eastAsia="zh-CN"/>
        </w:rPr>
        <w:t>土地供应上，推行“用地清单制”与“混合产业用地”，在项目出让前明确规划、环保等管控要求，并探索同一地块内兼容研发、生产、办公功能，提升土地复合利用率。能源与人才保障上，为重点科技企业设计“绿电直供+碳足迹认证”服务包，打造“共享实验室”与“数字用工”平台，降低企业研发与用工成本，为新质生产力项目提供独特吸引力。</w:t>
      </w:r>
    </w:p>
    <w:tbl>
      <w:tblPr>
        <w:tblStyle w:val="2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专栏</w:t>
            </w:r>
            <w:r>
              <w:rPr>
                <w:rFonts w:hint="eastAsia"/>
                <w:color w:val="auto"/>
                <w:highlight w:val="none"/>
                <w:lang w:val="en-US" w:eastAsia="zh-CN"/>
              </w:rPr>
              <w:t>4</w:t>
            </w:r>
            <w:r>
              <w:rPr>
                <w:color w:val="auto"/>
                <w:highlight w:val="none"/>
              </w:rPr>
              <w:t>全方位扩大内需建设重点项目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color w:val="auto"/>
                <w:highlight w:val="none"/>
              </w:rPr>
              <w:t>.四大核心商圈能级提升工程</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吾悦广场</w:t>
            </w:r>
            <w:r>
              <w:rPr>
                <w:rFonts w:hint="eastAsia" w:ascii="仿宋_GB2312" w:hAnsi="Times New Roman"/>
                <w:color w:val="auto"/>
                <w:highlight w:val="none"/>
                <w:lang w:bidi="ar"/>
              </w:rPr>
              <w:t>“</w:t>
            </w:r>
            <w:r>
              <w:rPr>
                <w:rFonts w:ascii="Times New Roman" w:hAnsi="Times New Roman"/>
                <w:color w:val="auto"/>
                <w:highlight w:val="none"/>
                <w:lang w:bidi="ar"/>
              </w:rPr>
              <w:t>文商旅</w:t>
            </w:r>
            <w:r>
              <w:rPr>
                <w:rFonts w:hint="eastAsia" w:ascii="楷体_GB2312" w:hAnsi="楷体_GB2312" w:cs="楷体_GB2312"/>
                <w:color w:val="auto"/>
                <w:highlight w:val="none"/>
                <w:lang w:bidi="ar"/>
              </w:rPr>
              <w:t>”</w:t>
            </w:r>
            <w:r>
              <w:rPr>
                <w:rFonts w:ascii="Times New Roman" w:hAnsi="Times New Roman"/>
                <w:color w:val="auto"/>
                <w:highlight w:val="none"/>
                <w:lang w:bidi="ar"/>
              </w:rPr>
              <w:t>融合项目：实施主题街区二期改造，引入首店、旗舰店；与长春公园联动开发文旅动线，打造慢行系统。</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欧亚春城</w:t>
            </w:r>
            <w:r>
              <w:rPr>
                <w:rFonts w:hint="eastAsia" w:ascii="仿宋_GB2312" w:hAnsi="Times New Roman"/>
                <w:color w:val="auto"/>
                <w:highlight w:val="none"/>
                <w:lang w:bidi="ar"/>
              </w:rPr>
              <w:t>“</w:t>
            </w:r>
            <w:r>
              <w:rPr>
                <w:rFonts w:ascii="Times New Roman" w:hAnsi="Times New Roman"/>
                <w:color w:val="auto"/>
                <w:highlight w:val="none"/>
                <w:lang w:bidi="ar"/>
              </w:rPr>
              <w:t>社区生活中心</w:t>
            </w:r>
            <w:r>
              <w:rPr>
                <w:rFonts w:hint="eastAsia" w:ascii="楷体_GB2312" w:hAnsi="楷体_GB2312" w:cs="楷体_GB2312"/>
                <w:color w:val="auto"/>
                <w:highlight w:val="none"/>
                <w:lang w:bidi="ar"/>
              </w:rPr>
              <w:t>”</w:t>
            </w:r>
            <w:r>
              <w:rPr>
                <w:rFonts w:ascii="Times New Roman" w:hAnsi="Times New Roman"/>
                <w:color w:val="auto"/>
                <w:highlight w:val="none"/>
                <w:lang w:bidi="ar"/>
              </w:rPr>
              <w:t>焕新项目：进行内外场景改造，增加亲子娱乐、文化展览空间；建立社区会员体系，推出专属福利。</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rFonts w:hint="eastAsia"/>
                <w:color w:val="auto"/>
                <w:highlight w:val="none"/>
              </w:rPr>
              <w:t>航博城</w:t>
            </w:r>
            <w:r>
              <w:rPr>
                <w:color w:val="auto"/>
                <w:highlight w:val="none"/>
              </w:rPr>
              <w:t>航空特色商圈启动区项目：建设航空主题酒店、研学中心、沉浸式体验馆；定期举办航展、科技论坛、夏令营活动。</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西客站前综合体建设项目：按规划建设美食广场、演艺广场、文化中心；打造飞跃路美食轴和花卉景观廊道，实现与同鑫等商业体的互联互通。</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lang w:bidi="ar"/>
              </w:rPr>
              <w:t>2</w:t>
            </w:r>
            <w:r>
              <w:rPr>
                <w:color w:val="auto"/>
                <w:highlight w:val="none"/>
                <w:lang w:bidi="ar"/>
              </w:rPr>
              <w:t>.</w:t>
            </w:r>
            <w:r>
              <w:rPr>
                <w:rFonts w:hint="eastAsia" w:ascii="仿宋_GB2312"/>
                <w:color w:val="auto"/>
                <w:highlight w:val="none"/>
                <w:lang w:bidi="ar"/>
              </w:rPr>
              <w:t>“</w:t>
            </w:r>
            <w:r>
              <w:rPr>
                <w:rFonts w:ascii="Times New Roman" w:hAnsi="Times New Roman"/>
                <w:b w:val="0"/>
                <w:i w:val="0"/>
                <w:color w:val="auto"/>
                <w:highlight w:val="none"/>
                <w:lang w:bidi="ar"/>
              </w:rPr>
              <w:t>15</w:t>
            </w:r>
            <w:r>
              <w:rPr>
                <w:color w:val="auto"/>
                <w:highlight w:val="none"/>
                <w:lang w:bidi="ar"/>
              </w:rPr>
              <w:t>分钟生活圈</w:t>
            </w:r>
            <w:r>
              <w:rPr>
                <w:rFonts w:hint="eastAsia" w:ascii="楷体_GB2312" w:hAnsi="楷体_GB2312" w:cs="楷体_GB2312"/>
                <w:color w:val="auto"/>
                <w:highlight w:val="none"/>
                <w:lang w:bidi="ar"/>
              </w:rPr>
              <w:t>”</w:t>
            </w:r>
            <w:r>
              <w:rPr>
                <w:color w:val="auto"/>
                <w:highlight w:val="none"/>
                <w:lang w:bidi="ar"/>
              </w:rPr>
              <w:t>社区商业标准化项目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社区商业设施补短板行动：在全区所有社区，按标准配置生鲜超市、便利店、家政维修等基本服务网点。</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hint="eastAsia" w:ascii="仿宋_GB2312" w:hAnsi="Times New Roman"/>
                <w:color w:val="auto"/>
                <w:highlight w:val="none"/>
                <w:lang w:bidi="ar"/>
              </w:rPr>
              <w:t>“</w:t>
            </w:r>
            <w:r>
              <w:rPr>
                <w:rFonts w:ascii="Times New Roman" w:hAnsi="Times New Roman"/>
                <w:color w:val="auto"/>
                <w:highlight w:val="none"/>
                <w:lang w:bidi="ar"/>
              </w:rPr>
              <w:t>新竹模式</w:t>
            </w:r>
            <w:r>
              <w:rPr>
                <w:rFonts w:hint="eastAsia" w:ascii="楷体_GB2312" w:hAnsi="楷体_GB2312" w:cs="楷体_GB2312"/>
                <w:color w:val="auto"/>
                <w:highlight w:val="none"/>
                <w:lang w:bidi="ar"/>
              </w:rPr>
              <w:t>”</w:t>
            </w:r>
            <w:r>
              <w:rPr>
                <w:rFonts w:ascii="Times New Roman" w:hAnsi="Times New Roman"/>
                <w:color w:val="auto"/>
                <w:highlight w:val="none"/>
                <w:lang w:bidi="ar"/>
              </w:rPr>
              <w:t>推广工程：复制</w:t>
            </w:r>
            <w:r>
              <w:rPr>
                <w:rFonts w:hint="eastAsia" w:ascii="仿宋_GB2312" w:hAnsi="Times New Roman"/>
                <w:color w:val="auto"/>
                <w:highlight w:val="none"/>
                <w:lang w:bidi="ar"/>
              </w:rPr>
              <w:t>“</w:t>
            </w:r>
            <w:r>
              <w:rPr>
                <w:rFonts w:ascii="Times New Roman" w:hAnsi="Times New Roman"/>
                <w:color w:val="auto"/>
                <w:highlight w:val="none"/>
                <w:lang w:bidi="ar"/>
              </w:rPr>
              <w:t>一社、一场、一街、多站</w:t>
            </w:r>
            <w:r>
              <w:rPr>
                <w:rFonts w:hint="eastAsia" w:ascii="楷体_GB2312" w:hAnsi="楷体_GB2312" w:cs="楷体_GB2312"/>
                <w:color w:val="auto"/>
                <w:highlight w:val="none"/>
                <w:lang w:bidi="ar"/>
              </w:rPr>
              <w:t>”</w:t>
            </w:r>
            <w:r>
              <w:rPr>
                <w:rFonts w:ascii="Times New Roman" w:hAnsi="Times New Roman"/>
                <w:color w:val="auto"/>
                <w:highlight w:val="none"/>
                <w:lang w:bidi="ar"/>
              </w:rPr>
              <w:t>模式，建设社区服务综合体和</w:t>
            </w:r>
            <w:r>
              <w:rPr>
                <w:rFonts w:hint="eastAsia" w:ascii="仿宋_GB2312" w:hAnsi="Times New Roman"/>
                <w:color w:val="auto"/>
                <w:highlight w:val="none"/>
                <w:lang w:bidi="ar"/>
              </w:rPr>
              <w:t>“</w:t>
            </w:r>
            <w:r>
              <w:rPr>
                <w:rFonts w:ascii="Times New Roman" w:hAnsi="Times New Roman"/>
                <w:color w:val="auto"/>
                <w:highlight w:val="none"/>
                <w:lang w:bidi="ar"/>
              </w:rPr>
              <w:t>惠民小街</w:t>
            </w:r>
            <w:r>
              <w:rPr>
                <w:rFonts w:hint="eastAsia" w:ascii="楷体_GB2312" w:hAnsi="楷体_GB2312" w:cs="楷体_GB2312"/>
                <w:color w:val="auto"/>
                <w:highlight w:val="none"/>
                <w:lang w:bidi="ar"/>
              </w:rPr>
              <w:t>”</w:t>
            </w:r>
            <w:r>
              <w:rPr>
                <w:rFonts w:ascii="Times New Roman" w:hAnsi="Times New Roman"/>
                <w:color w:val="auto"/>
                <w:highlight w:val="none"/>
                <w:lang w:bidi="ar"/>
              </w:rPr>
              <w:t>。</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社区微更新</w:t>
            </w:r>
            <w:r>
              <w:rPr>
                <w:rFonts w:hint="eastAsia" w:ascii="Times New Roman" w:hAnsi="Times New Roman"/>
                <w:color w:val="auto"/>
                <w:highlight w:val="none"/>
                <w:lang w:eastAsia="zh-CN" w:bidi="ar"/>
              </w:rPr>
              <w:t>样板</w:t>
            </w:r>
            <w:r>
              <w:rPr>
                <w:rFonts w:ascii="Times New Roman" w:hAnsi="Times New Roman"/>
                <w:color w:val="auto"/>
                <w:highlight w:val="none"/>
                <w:lang w:bidi="ar"/>
              </w:rPr>
              <w:t>点：选取一批社区，进行街道立面整治、闲置空间活化，植入咖啡馆、书店等</w:t>
            </w:r>
            <w:r>
              <w:rPr>
                <w:rFonts w:hint="eastAsia" w:ascii="仿宋_GB2312" w:hAnsi="Times New Roman"/>
                <w:color w:val="auto"/>
                <w:highlight w:val="none"/>
                <w:lang w:bidi="ar"/>
              </w:rPr>
              <w:t>“</w:t>
            </w:r>
            <w:r>
              <w:rPr>
                <w:rFonts w:ascii="Times New Roman" w:hAnsi="Times New Roman"/>
                <w:color w:val="auto"/>
                <w:highlight w:val="none"/>
                <w:lang w:bidi="ar"/>
              </w:rPr>
              <w:t>小而美</w:t>
            </w:r>
            <w:r>
              <w:rPr>
                <w:rFonts w:hint="eastAsia" w:ascii="楷体_GB2312" w:hAnsi="楷体_GB2312" w:cs="楷体_GB2312"/>
                <w:color w:val="auto"/>
                <w:highlight w:val="none"/>
                <w:lang w:bidi="ar"/>
              </w:rPr>
              <w:t>”</w:t>
            </w:r>
            <w:r>
              <w:rPr>
                <w:rFonts w:ascii="Times New Roman" w:hAnsi="Times New Roman"/>
                <w:color w:val="auto"/>
                <w:highlight w:val="none"/>
                <w:lang w:bidi="ar"/>
              </w:rPr>
              <w:t>业态。</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3</w:t>
            </w:r>
            <w:r>
              <w:rPr>
                <w:color w:val="auto"/>
                <w:highlight w:val="none"/>
              </w:rPr>
              <w:t>.特色商业街区品牌塑造项目</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航空主题商业街（</w:t>
            </w:r>
            <w:r>
              <w:rPr>
                <w:rFonts w:hint="eastAsia" w:ascii="Times New Roman" w:hAnsi="Times New Roman"/>
                <w:color w:val="auto"/>
                <w:highlight w:val="none"/>
                <w:lang w:bidi="ar"/>
              </w:rPr>
              <w:t>航博城</w:t>
            </w:r>
            <w:r>
              <w:rPr>
                <w:rFonts w:ascii="Times New Roman" w:hAnsi="Times New Roman"/>
                <w:color w:val="auto"/>
                <w:highlight w:val="none"/>
                <w:lang w:bidi="ar"/>
              </w:rPr>
              <w:t>内）：招商落位高端酒店、大型综合体；整体包装推广，打造</w:t>
            </w:r>
            <w:r>
              <w:rPr>
                <w:rFonts w:hint="eastAsia" w:ascii="仿宋_GB2312" w:hAnsi="Times New Roman"/>
                <w:color w:val="auto"/>
                <w:highlight w:val="none"/>
                <w:lang w:bidi="ar"/>
              </w:rPr>
              <w:t>“</w:t>
            </w:r>
            <w:r>
              <w:rPr>
                <w:rFonts w:ascii="Times New Roman" w:hAnsi="Times New Roman"/>
                <w:color w:val="auto"/>
                <w:highlight w:val="none"/>
                <w:lang w:bidi="ar"/>
              </w:rPr>
              <w:t>红色+航空</w:t>
            </w:r>
            <w:r>
              <w:rPr>
                <w:rFonts w:hint="eastAsia" w:ascii="楷体_GB2312" w:hAnsi="楷体_GB2312" w:cs="楷体_GB2312"/>
                <w:color w:val="auto"/>
                <w:highlight w:val="none"/>
                <w:lang w:bidi="ar"/>
              </w:rPr>
              <w:t>”</w:t>
            </w:r>
            <w:r>
              <w:rPr>
                <w:rFonts w:ascii="Times New Roman" w:hAnsi="Times New Roman"/>
                <w:color w:val="auto"/>
                <w:highlight w:val="none"/>
                <w:lang w:bidi="ar"/>
              </w:rPr>
              <w:t>旅游打卡地。</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皓月国际文旅商街：建设</w:t>
            </w:r>
            <w:r>
              <w:rPr>
                <w:rFonts w:hint="eastAsia" w:ascii="仿宋_GB2312" w:hAnsi="Times New Roman"/>
                <w:color w:val="auto"/>
                <w:highlight w:val="none"/>
                <w:lang w:bidi="ar"/>
              </w:rPr>
              <w:t>“</w:t>
            </w:r>
            <w:r>
              <w:rPr>
                <w:rFonts w:ascii="Times New Roman" w:hAnsi="Times New Roman"/>
                <w:color w:val="auto"/>
                <w:highlight w:val="none"/>
                <w:lang w:bidi="ar"/>
              </w:rPr>
              <w:t>皓月欢乐荟</w:t>
            </w:r>
            <w:r>
              <w:rPr>
                <w:rFonts w:hint="eastAsia" w:ascii="楷体_GB2312" w:hAnsi="楷体_GB2312" w:cs="楷体_GB2312"/>
                <w:color w:val="auto"/>
                <w:highlight w:val="none"/>
                <w:lang w:bidi="ar"/>
              </w:rPr>
              <w:t>”</w:t>
            </w:r>
            <w:r>
              <w:rPr>
                <w:rFonts w:ascii="Times New Roman" w:hAnsi="Times New Roman"/>
                <w:color w:val="auto"/>
                <w:highlight w:val="none"/>
                <w:lang w:bidi="ar"/>
              </w:rPr>
              <w:t>项目，汇聚中外特色餐饮、大型游乐设施，融入肉牛文化、研学教育元素。</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传统美食商街提升工程：对乐园路、万福街、悦见</w:t>
            </w:r>
            <w:r>
              <w:rPr>
                <w:rFonts w:ascii="Times New Roman" w:hAnsi="Times New Roman"/>
                <w:b w:val="0"/>
                <w:i w:val="0"/>
                <w:color w:val="auto"/>
                <w:highlight w:val="none"/>
              </w:rPr>
              <w:t>39</w:t>
            </w:r>
            <w:r>
              <w:rPr>
                <w:color w:val="auto"/>
                <w:highlight w:val="none"/>
              </w:rPr>
              <w:t>°步行街进行环境整治、业态优化、品牌整合，统一营销推广。</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4</w:t>
            </w:r>
            <w:r>
              <w:rPr>
                <w:color w:val="auto"/>
                <w:highlight w:val="none"/>
              </w:rPr>
              <w:t>.绿园冰雪欢乐季项目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在长春公园、雁鸣湖公园等场地，系统建设冰雪游乐设施，举办大众冰雪赛事、冰雕雪雕展，开展雪地摩托、冰滑梯等娱乐活动。</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5</w:t>
            </w:r>
            <w:r>
              <w:rPr>
                <w:color w:val="auto"/>
                <w:highlight w:val="none"/>
              </w:rPr>
              <w:t>.银发经济暖心服务项目</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color w:val="auto"/>
                <w:highlight w:val="none"/>
              </w:rPr>
            </w:pPr>
            <w:r>
              <w:rPr>
                <w:rFonts w:ascii="Times New Roman" w:hAnsi="Times New Roman"/>
                <w:color w:val="auto"/>
                <w:highlight w:val="none"/>
                <w:lang w:bidi="ar"/>
              </w:rPr>
              <w:t>社区</w:t>
            </w:r>
            <w:r>
              <w:rPr>
                <w:rFonts w:hint="eastAsia" w:ascii="仿宋_GB2312" w:hAnsi="Times New Roman"/>
                <w:color w:val="auto"/>
                <w:highlight w:val="none"/>
                <w:lang w:bidi="ar"/>
              </w:rPr>
              <w:t>“</w:t>
            </w:r>
            <w:r>
              <w:rPr>
                <w:rFonts w:ascii="Times New Roman" w:hAnsi="Times New Roman"/>
                <w:color w:val="auto"/>
                <w:highlight w:val="none"/>
                <w:lang w:bidi="ar"/>
              </w:rPr>
              <w:t>养老+</w:t>
            </w:r>
            <w:r>
              <w:rPr>
                <w:rFonts w:hint="eastAsia" w:ascii="楷体_GB2312" w:hAnsi="楷体_GB2312" w:cs="楷体_GB2312"/>
                <w:color w:val="auto"/>
                <w:highlight w:val="none"/>
                <w:lang w:bidi="ar"/>
              </w:rPr>
              <w:t>”</w:t>
            </w:r>
            <w:r>
              <w:rPr>
                <w:rFonts w:ascii="Times New Roman" w:hAnsi="Times New Roman"/>
                <w:color w:val="auto"/>
                <w:highlight w:val="none"/>
                <w:lang w:bidi="ar"/>
              </w:rPr>
              <w:t>服务网点：升级社区养老站，与皓月集团合作推出老年营养餐集中配送服务。</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乡村康养游产品：依托红民村、裴家村等，开发针对老年人的短期疗养、农事体验等旅游线路。</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6</w:t>
            </w:r>
            <w:r>
              <w:rPr>
                <w:color w:val="auto"/>
                <w:highlight w:val="none"/>
              </w:rPr>
              <w:t>.城市公园户外经济拓展项目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在</w:t>
            </w:r>
            <w:r>
              <w:rPr>
                <w:rFonts w:hint="eastAsia"/>
                <w:color w:val="auto"/>
                <w:highlight w:val="none"/>
              </w:rPr>
              <w:t>锦江公园、长春公园、雁鸣湖公园</w:t>
            </w:r>
            <w:r>
              <w:rPr>
                <w:color w:val="auto"/>
                <w:highlight w:val="none"/>
              </w:rPr>
              <w:t>等，划定区域用于轻奢露营、草坪音乐</w:t>
            </w:r>
            <w:r>
              <w:rPr>
                <w:rFonts w:hint="eastAsia"/>
                <w:color w:val="auto"/>
                <w:highlight w:val="none"/>
              </w:rPr>
              <w:t>会</w:t>
            </w:r>
            <w:r>
              <w:rPr>
                <w:color w:val="auto"/>
                <w:highlight w:val="none"/>
              </w:rPr>
              <w:t>、周末市集；增设户外运动设施，开发亲子自然教育课程。</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bidi="ar"/>
              </w:rPr>
              <w:t>7</w:t>
            </w:r>
            <w:r>
              <w:rPr>
                <w:color w:val="auto"/>
                <w:highlight w:val="none"/>
                <w:lang w:bidi="ar"/>
              </w:rPr>
              <w:t>.</w:t>
            </w:r>
            <w:r>
              <w:rPr>
                <w:rFonts w:hint="eastAsia" w:ascii="仿宋_GB2312"/>
                <w:color w:val="auto"/>
                <w:highlight w:val="none"/>
                <w:lang w:bidi="ar"/>
              </w:rPr>
              <w:t>“</w:t>
            </w:r>
            <w:r>
              <w:rPr>
                <w:color w:val="auto"/>
                <w:highlight w:val="none"/>
                <w:lang w:bidi="ar"/>
              </w:rPr>
              <w:t>绿园</w:t>
            </w:r>
            <w:r>
              <w:rPr>
                <w:rFonts w:hint="eastAsia"/>
                <w:color w:val="auto"/>
                <w:highlight w:val="none"/>
                <w:lang w:val="en-US" w:eastAsia="zh-CN" w:bidi="ar"/>
              </w:rPr>
              <w:t>品牌</w:t>
            </w:r>
            <w:r>
              <w:rPr>
                <w:rFonts w:hint="eastAsia" w:ascii="楷体_GB2312" w:hAnsi="楷体_GB2312" w:cs="楷体_GB2312"/>
                <w:color w:val="auto"/>
                <w:highlight w:val="none"/>
                <w:lang w:bidi="ar"/>
              </w:rPr>
              <w:t>”</w:t>
            </w:r>
            <w:r>
              <w:rPr>
                <w:color w:val="auto"/>
                <w:highlight w:val="none"/>
                <w:lang w:bidi="ar"/>
              </w:rPr>
              <w:t>计划</w:t>
            </w:r>
          </w:p>
          <w:p>
            <w:pPr>
              <w:pStyle w:val="23"/>
              <w:keepNext w:val="0"/>
              <w:keepLines w:val="0"/>
              <w:pageBreakBefore w:val="0"/>
              <w:widowControl w:val="0"/>
              <w:wordWrap/>
              <w:overflowPunct/>
              <w:topLinePunct w:val="0"/>
              <w:autoSpaceDE/>
              <w:autoSpaceDN/>
              <w:bidi w:val="0"/>
              <w:spacing w:line="300" w:lineRule="exact"/>
              <w:rPr>
                <w:rFonts w:ascii="Times New Roman" w:hAnsi="Times New Roman" w:eastAsia="仿宋"/>
                <w:snapToGrid w:val="0"/>
                <w:color w:val="auto"/>
                <w:kern w:val="0"/>
                <w:sz w:val="28"/>
                <w:szCs w:val="28"/>
                <w:highlight w:val="none"/>
              </w:rPr>
            </w:pPr>
            <w:r>
              <w:rPr>
                <w:rFonts w:ascii="Times New Roman" w:hAnsi="Times New Roman"/>
                <w:color w:val="auto"/>
                <w:highlight w:val="none"/>
                <w:lang w:bidi="ar"/>
              </w:rPr>
              <w:t>建立认证与扶持体系：制定标准，挖掘品牌，给予政策包支持。建设线上官方旗舰店并开展数字化营销。共建</w:t>
            </w:r>
            <w:r>
              <w:rPr>
                <w:rFonts w:hint="eastAsia" w:ascii="仿宋_GB2312" w:hAnsi="Times New Roman"/>
                <w:color w:val="auto"/>
                <w:highlight w:val="none"/>
                <w:lang w:bidi="ar"/>
              </w:rPr>
              <w:t>“</w:t>
            </w:r>
            <w:r>
              <w:rPr>
                <w:rFonts w:hint="eastAsia" w:ascii="仿宋_GB2312" w:hAnsi="Times New Roman"/>
                <w:color w:val="auto"/>
                <w:highlight w:val="none"/>
                <w:lang w:val="en-US" w:eastAsia="zh-CN" w:bidi="ar"/>
              </w:rPr>
              <w:t>品牌</w:t>
            </w:r>
            <w:r>
              <w:rPr>
                <w:rFonts w:ascii="Times New Roman" w:hAnsi="Times New Roman"/>
                <w:color w:val="auto"/>
                <w:highlight w:val="none"/>
                <w:lang w:bidi="ar"/>
              </w:rPr>
              <w:t>创新实验室</w:t>
            </w:r>
            <w:r>
              <w:rPr>
                <w:rFonts w:hint="eastAsia" w:ascii="楷体_GB2312" w:hAnsi="楷体_GB2312" w:cs="楷体_GB2312"/>
                <w:color w:val="auto"/>
                <w:highlight w:val="none"/>
                <w:lang w:bidi="ar"/>
              </w:rPr>
              <w:t>”</w:t>
            </w:r>
            <w:r>
              <w:rPr>
                <w:rFonts w:ascii="Times New Roman" w:hAnsi="Times New Roman"/>
                <w:color w:val="auto"/>
                <w:highlight w:val="none"/>
                <w:lang w:bidi="ar"/>
              </w:rPr>
              <w:t>，与院校合作培养传承人，推动产品焕新。</w:t>
            </w:r>
          </w:p>
        </w:tc>
      </w:tr>
    </w:tbl>
    <w:p>
      <w:pPr>
        <w:pageBreakBefore w:val="0"/>
        <w:wordWrap/>
        <w:overflowPunct/>
        <w:autoSpaceDE/>
        <w:autoSpaceDN/>
        <w:bidi w:val="0"/>
        <w:spacing w:line="530" w:lineRule="exact"/>
        <w:ind w:firstLine="640"/>
        <w:rPr>
          <w:rFonts w:ascii="Times New Roman" w:hAnsi="Times New Roman" w:cs="Times New Roman"/>
          <w:color w:val="auto"/>
          <w:sz w:val="32"/>
          <w:szCs w:val="32"/>
          <w:highlight w:val="none"/>
        </w:rPr>
      </w:pPr>
    </w:p>
    <w:p>
      <w:pPr>
        <w:pageBreakBefore w:val="0"/>
        <w:wordWrap/>
        <w:overflowPunct/>
        <w:autoSpaceDE/>
        <w:autoSpaceDN/>
        <w:bidi w:val="0"/>
        <w:spacing w:line="530" w:lineRule="exact"/>
        <w:rPr>
          <w:rFonts w:ascii="Times New Roman" w:hAnsi="Times New Roman" w:eastAsia="方正公文小标宋" w:cs="Times New Roman"/>
          <w:b/>
          <w:color w:val="auto"/>
          <w:kern w:val="44"/>
          <w:sz w:val="44"/>
          <w:szCs w:val="32"/>
          <w:highlight w:val="none"/>
        </w:rPr>
      </w:pPr>
    </w:p>
    <w:p>
      <w:pPr>
        <w:pageBreakBefore w:val="0"/>
        <w:wordWrap/>
        <w:overflowPunct/>
        <w:autoSpaceDE/>
        <w:autoSpaceDN/>
        <w:bidi w:val="0"/>
        <w:spacing w:line="530" w:lineRule="exact"/>
        <w:rPr>
          <w:rFonts w:hint="eastAsia"/>
          <w:color w:val="auto"/>
          <w:highlight w:val="none"/>
        </w:rPr>
      </w:pPr>
    </w:p>
    <w:p>
      <w:pPr>
        <w:pStyle w:val="2"/>
        <w:pageBreakBefore w:val="0"/>
        <w:numPr>
          <w:ilvl w:val="0"/>
          <w:numId w:val="0"/>
        </w:numPr>
        <w:wordWrap/>
        <w:overflowPunct/>
        <w:autoSpaceDE/>
        <w:autoSpaceDN/>
        <w:bidi w:val="0"/>
        <w:spacing w:line="530" w:lineRule="exact"/>
        <w:ind w:leftChars="0"/>
        <w:jc w:val="both"/>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720" w:footer="720" w:gutter="0"/>
          <w:pgNumType w:fmt="decimal"/>
          <w:cols w:space="425" w:num="1"/>
          <w:docGrid w:type="lines" w:linePitch="312" w:charSpace="0"/>
        </w:sectPr>
      </w:pPr>
      <w:bookmarkStart w:id="350" w:name="_Toc1428685033"/>
      <w:bookmarkStart w:id="351" w:name="_Toc696757553"/>
      <w:bookmarkStart w:id="352" w:name="_Toc688419210"/>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lang w:val="en-US" w:eastAsia="zh-CN"/>
        </w:rPr>
      </w:pPr>
      <w:bookmarkStart w:id="353" w:name="_Toc800182121"/>
      <w:bookmarkStart w:id="354" w:name="_Toc1271706205"/>
      <w:bookmarkStart w:id="355" w:name="_Toc568038481"/>
      <w:bookmarkStart w:id="356" w:name="_Toc939488900"/>
      <w:bookmarkStart w:id="357" w:name="_Toc1619645026"/>
      <w:r>
        <w:rPr>
          <w:rFonts w:hint="eastAsia" w:ascii="方正小标宋简体" w:hAnsi="方正小标宋简体" w:eastAsia="方正小标宋简体" w:cs="方正小标宋简体"/>
          <w:color w:val="auto"/>
          <w:highlight w:val="none"/>
        </w:rPr>
        <w:t>厚植文化发展沃土，开拓文旅融合发展新方向</w:t>
      </w:r>
      <w:bookmarkEnd w:id="350"/>
      <w:bookmarkEnd w:id="351"/>
      <w:bookmarkEnd w:id="352"/>
      <w:bookmarkEnd w:id="353"/>
      <w:bookmarkEnd w:id="354"/>
      <w:bookmarkEnd w:id="355"/>
      <w:bookmarkEnd w:id="356"/>
      <w:bookmarkEnd w:id="357"/>
    </w:p>
    <w:p>
      <w:pPr>
        <w:pStyle w:val="19"/>
        <w:pageBreakBefore w:val="0"/>
        <w:wordWrap/>
        <w:overflowPunct/>
        <w:autoSpaceDE/>
        <w:autoSpaceDN/>
        <w:bidi w:val="0"/>
        <w:spacing w:line="530" w:lineRule="exact"/>
        <w:rPr>
          <w:rFonts w:hint="eastAsia"/>
          <w:color w:val="auto"/>
          <w:highlight w:val="none"/>
          <w:lang w:val="en-US" w:eastAsia="zh-CN"/>
        </w:rPr>
      </w:pPr>
      <w:r>
        <w:rPr>
          <w:rFonts w:hint="eastAsia"/>
          <w:color w:val="auto"/>
          <w:highlight w:val="none"/>
          <w:lang w:val="en-US" w:eastAsia="zh-CN"/>
        </w:rPr>
        <w:t>绿园区将系统推动文化事业繁荣与历史遗产保护传承，促进文旅深度融合发展，通过优化公共服务、培育新兴业态、强化科技赋能，全面提升城区文化软实力、影响力与居民获得感。</w:t>
      </w:r>
    </w:p>
    <w:p>
      <w:pPr>
        <w:pStyle w:val="3"/>
        <w:pageBreakBefore w:val="0"/>
        <w:wordWrap/>
        <w:overflowPunct/>
        <w:autoSpaceDE/>
        <w:autoSpaceDN/>
        <w:bidi w:val="0"/>
        <w:spacing w:line="530" w:lineRule="exact"/>
        <w:rPr>
          <w:rFonts w:hint="eastAsia"/>
          <w:color w:val="auto"/>
          <w:highlight w:val="none"/>
        </w:rPr>
      </w:pPr>
      <w:bookmarkStart w:id="358" w:name="_Toc1457939252"/>
      <w:bookmarkStart w:id="359" w:name="_Toc1118310133"/>
      <w:bookmarkStart w:id="360" w:name="_Toc1808932491"/>
      <w:r>
        <w:rPr>
          <w:rFonts w:hint="eastAsia"/>
          <w:color w:val="auto"/>
          <w:highlight w:val="none"/>
        </w:rPr>
        <w:t>促进文化事业繁荣发展</w:t>
      </w:r>
      <w:bookmarkEnd w:id="358"/>
      <w:bookmarkEnd w:id="359"/>
      <w:bookmarkEnd w:id="360"/>
    </w:p>
    <w:p>
      <w:pPr>
        <w:pStyle w:val="4"/>
        <w:pageBreakBefore w:val="0"/>
        <w:wordWrap/>
        <w:overflowPunct/>
        <w:autoSpaceDE/>
        <w:autoSpaceDN/>
        <w:bidi w:val="0"/>
        <w:spacing w:line="530" w:lineRule="exact"/>
        <w:rPr>
          <w:color w:val="auto"/>
          <w:highlight w:val="none"/>
        </w:rPr>
      </w:pPr>
      <w:bookmarkStart w:id="361" w:name="_Toc802385658"/>
      <w:r>
        <w:rPr>
          <w:color w:val="auto"/>
          <w:highlight w:val="none"/>
        </w:rPr>
        <w:t>提升整体文化水平</w:t>
      </w:r>
      <w:bookmarkEnd w:id="361"/>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提升公共文化服务整体水平。</w:t>
      </w:r>
      <w:r>
        <w:rPr>
          <w:rFonts w:ascii="Times New Roman" w:hAnsi="Times New Roman" w:cs="Times New Roman"/>
          <w:color w:val="auto"/>
          <w:kern w:val="0"/>
          <w:szCs w:val="32"/>
          <w:highlight w:val="none"/>
          <w:lang w:bidi="ar"/>
        </w:rPr>
        <w:t>加强与国家级、省级院团合作，引进优秀精品音乐舞蹈演出、美术展览，推进哲学社会科学、文学艺术、戏剧曲艺等繁荣发展。加强新闻传媒等主流媒体传播手段的建设及创新，加快媒体守正创新、提质增效，高扬主旋律，传播正能量，讲好“绿园故事”。加强地方志编</w:t>
      </w:r>
      <w:r>
        <w:rPr>
          <w:rFonts w:hint="eastAsia" w:ascii="Times New Roman" w:hAnsi="Times New Roman" w:cs="Times New Roman"/>
          <w:color w:val="auto"/>
          <w:kern w:val="0"/>
          <w:szCs w:val="32"/>
          <w:highlight w:val="none"/>
          <w:lang w:val="en-US" w:eastAsia="zh-CN" w:bidi="ar"/>
        </w:rPr>
        <w:t>纂</w:t>
      </w:r>
      <w:r>
        <w:rPr>
          <w:rFonts w:ascii="Times New Roman" w:hAnsi="Times New Roman" w:cs="Times New Roman"/>
          <w:color w:val="auto"/>
          <w:kern w:val="0"/>
          <w:szCs w:val="32"/>
          <w:highlight w:val="none"/>
          <w:lang w:bidi="ar"/>
        </w:rPr>
        <w:t>工作，提升街道、乡镇整体服务能力和水平。</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深入实施文化惠民工程。</w:t>
      </w:r>
      <w:r>
        <w:rPr>
          <w:rFonts w:ascii="Times New Roman" w:hAnsi="Times New Roman" w:cs="Times New Roman"/>
          <w:color w:val="auto"/>
          <w:kern w:val="0"/>
          <w:szCs w:val="32"/>
          <w:highlight w:val="none"/>
          <w:lang w:bidi="ar"/>
        </w:rPr>
        <w:t>加快推进重点文化惠民项目落地，深入开展“市民文化周”“农民文化周”等活动，高质量举办名家绘绿园、中歌进绿园等精品文化活动。加快推动全民艺术、阅读、鉴赏普及等活动，推动绿园地方特色艺术作品传承发展。加强绿园地方优秀传统文化教育普及，鼓励民间资本参与优秀传统文化保护利用。</w:t>
      </w:r>
    </w:p>
    <w:p>
      <w:pPr>
        <w:pStyle w:val="19"/>
        <w:pageBreakBefore w:val="0"/>
        <w:wordWrap/>
        <w:overflowPunct/>
        <w:autoSpaceDE/>
        <w:autoSpaceDN/>
        <w:bidi w:val="0"/>
        <w:spacing w:line="530" w:lineRule="exact"/>
        <w:ind w:firstLine="643"/>
        <w:rPr>
          <w:rFonts w:hint="default" w:ascii="Times New Roman" w:hAnsi="Times New Roman" w:cs="Times New Roman"/>
          <w:b/>
          <w:bCs/>
          <w:color w:val="auto"/>
          <w:kern w:val="0"/>
          <w:szCs w:val="32"/>
          <w:highlight w:val="none"/>
          <w:lang w:bidi="ar"/>
        </w:rPr>
      </w:pPr>
      <w:r>
        <w:rPr>
          <w:rFonts w:ascii="Times New Roman" w:hAnsi="Times New Roman" w:cs="Times New Roman"/>
          <w:b/>
          <w:bCs/>
          <w:color w:val="auto"/>
          <w:kern w:val="0"/>
          <w:szCs w:val="32"/>
          <w:highlight w:val="none"/>
          <w:lang w:bidi="ar"/>
        </w:rPr>
        <w:t>繁荣文艺精品创作。</w:t>
      </w:r>
      <w:r>
        <w:rPr>
          <w:rFonts w:ascii="Times New Roman" w:hAnsi="Times New Roman" w:cs="Times New Roman"/>
          <w:color w:val="auto"/>
          <w:kern w:val="0"/>
          <w:szCs w:val="32"/>
          <w:highlight w:val="none"/>
          <w:lang w:bidi="ar"/>
        </w:rPr>
        <w:t>突出重大主题，开展文艺实践，以重大节点为契机，开展优秀文艺作品征集展示、“艺心向党 艺美绿园”主题实践和“艺美乡村”创作服务等活动，进一步弘扬时代精神。编制《长春市绿园区文联文艺创作选题指导目录》，突出创作导向，引导精品创作，激励大众文学、网络文学创作，强化美术、书法、摄影品牌建设，推动音乐、舞蹈、美术创作，推出一批体现时代精神、展现绿园特色的优秀文艺作品。结合“与人民同行”“强基工程”“时代风尚”等主题，大力开展“书写新时代雷锋故事”“毓秀绿园·万福迎春”系列文艺志愿服务，推动文艺进村庄、进社区、进企业、进景区。建立绿园区文艺人才库，定期举办重点文艺人才培训班，加快推进文艺领域高层次人才梯队建设。</w:t>
      </w:r>
    </w:p>
    <w:p>
      <w:pPr>
        <w:pStyle w:val="19"/>
        <w:pageBreakBefore w:val="0"/>
        <w:wordWrap/>
        <w:overflowPunct/>
        <w:autoSpaceDE/>
        <w:autoSpaceDN/>
        <w:bidi w:val="0"/>
        <w:spacing w:line="530" w:lineRule="exact"/>
        <w:ind w:firstLine="643"/>
        <w:rPr>
          <w:rFonts w:hint="default" w:ascii="Times New Roman" w:hAnsi="Times New Roman" w:eastAsia="宋体" w:cs="Times New Roman"/>
          <w:color w:val="auto"/>
          <w:kern w:val="0"/>
          <w:sz w:val="28"/>
          <w:szCs w:val="28"/>
          <w:highlight w:val="none"/>
          <w:lang w:bidi="ar"/>
        </w:rPr>
      </w:pPr>
      <w:r>
        <w:rPr>
          <w:rFonts w:ascii="Times New Roman" w:hAnsi="Times New Roman" w:cs="Times New Roman"/>
          <w:b/>
          <w:bCs/>
          <w:color w:val="auto"/>
          <w:kern w:val="0"/>
          <w:szCs w:val="32"/>
          <w:highlight w:val="none"/>
          <w:lang w:bidi="ar"/>
        </w:rPr>
        <w:t>创新文化产品供给。</w:t>
      </w:r>
      <w:r>
        <w:rPr>
          <w:rFonts w:ascii="Times New Roman" w:hAnsi="Times New Roman" w:cs="Times New Roman"/>
          <w:color w:val="auto"/>
          <w:kern w:val="0"/>
          <w:szCs w:val="32"/>
          <w:highlight w:val="none"/>
          <w:lang w:bidi="ar"/>
        </w:rPr>
        <w:t>加强文创产品开发，加大文化传承与创新、开放合作，提升高品质、精品化的文旅创意产品和服务供给。</w:t>
      </w:r>
      <w:r>
        <w:rPr>
          <w:rFonts w:hint="eastAsia" w:ascii="Times New Roman" w:hAnsi="Times New Roman" w:cs="Times New Roman"/>
          <w:color w:val="auto"/>
          <w:kern w:val="0"/>
          <w:szCs w:val="32"/>
          <w:highlight w:val="none"/>
          <w:lang w:val="en-US" w:eastAsia="zh-CN" w:bidi="ar"/>
        </w:rPr>
        <w:t>利用</w:t>
      </w:r>
      <w:r>
        <w:rPr>
          <w:rFonts w:ascii="Times New Roman" w:hAnsi="Times New Roman" w:cs="Times New Roman"/>
          <w:color w:val="auto"/>
          <w:kern w:val="0"/>
          <w:szCs w:val="32"/>
          <w:highlight w:val="none"/>
          <w:lang w:bidi="ar"/>
        </w:rPr>
        <w:t>绿园特色文化标识体系，实施文艺精品培育、骨干企业孵化、数字文创跨越发展等工程，</w:t>
      </w:r>
      <w:r>
        <w:rPr>
          <w:rFonts w:hint="eastAsia" w:ascii="Times New Roman" w:hAnsi="Times New Roman" w:cs="Times New Roman"/>
          <w:color w:val="auto"/>
          <w:kern w:val="0"/>
          <w:szCs w:val="32"/>
          <w:highlight w:val="none"/>
          <w:lang w:val="en-US" w:eastAsia="zh-CN" w:bidi="ar"/>
        </w:rPr>
        <w:t>围绕航博城、中车长客等独具绿园特色的区域培育</w:t>
      </w:r>
      <w:r>
        <w:rPr>
          <w:rFonts w:ascii="Times New Roman" w:hAnsi="Times New Roman" w:cs="Times New Roman"/>
          <w:color w:val="auto"/>
          <w:kern w:val="0"/>
          <w:szCs w:val="32"/>
          <w:highlight w:val="none"/>
          <w:lang w:bidi="ar"/>
        </w:rPr>
        <w:t>文创</w:t>
      </w:r>
      <w:r>
        <w:rPr>
          <w:rFonts w:hint="eastAsia" w:ascii="Times New Roman" w:hAnsi="Times New Roman" w:cs="Times New Roman"/>
          <w:color w:val="auto"/>
          <w:kern w:val="0"/>
          <w:szCs w:val="32"/>
          <w:highlight w:val="none"/>
          <w:lang w:val="en-US" w:eastAsia="zh-CN" w:bidi="ar"/>
        </w:rPr>
        <w:t>品牌</w:t>
      </w:r>
      <w:r>
        <w:rPr>
          <w:rFonts w:ascii="Times New Roman" w:hAnsi="Times New Roman" w:cs="Times New Roman"/>
          <w:color w:val="auto"/>
          <w:kern w:val="0"/>
          <w:szCs w:val="32"/>
          <w:highlight w:val="none"/>
          <w:lang w:bidi="ar"/>
        </w:rPr>
        <w:t>、文创特色街区和城市美学空间。</w:t>
      </w:r>
    </w:p>
    <w:p>
      <w:pPr>
        <w:pStyle w:val="4"/>
        <w:pageBreakBefore w:val="0"/>
        <w:wordWrap/>
        <w:overflowPunct/>
        <w:autoSpaceDE/>
        <w:autoSpaceDN/>
        <w:bidi w:val="0"/>
        <w:spacing w:line="530" w:lineRule="exact"/>
        <w:rPr>
          <w:color w:val="auto"/>
          <w:highlight w:val="none"/>
        </w:rPr>
      </w:pPr>
      <w:bookmarkStart w:id="362" w:name="_Toc1645934493"/>
      <w:r>
        <w:rPr>
          <w:color w:val="auto"/>
          <w:highlight w:val="none"/>
        </w:rPr>
        <w:t>完善文化公共服务设施</w:t>
      </w:r>
      <w:bookmarkEnd w:id="362"/>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打造</w:t>
      </w:r>
      <w:r>
        <w:rPr>
          <w:rFonts w:hint="eastAsia" w:ascii="Times New Roman" w:hAnsi="Times New Roman" w:cs="Times New Roman"/>
          <w:b/>
          <w:bCs/>
          <w:color w:val="auto"/>
          <w:kern w:val="0"/>
          <w:szCs w:val="32"/>
          <w:highlight w:val="none"/>
          <w:lang w:val="en-US" w:eastAsia="zh-CN" w:bidi="ar"/>
        </w:rPr>
        <w:t>社区</w:t>
      </w:r>
      <w:r>
        <w:rPr>
          <w:rFonts w:ascii="Times New Roman" w:hAnsi="Times New Roman" w:cs="Times New Roman"/>
          <w:b/>
          <w:bCs/>
          <w:color w:val="auto"/>
          <w:kern w:val="0"/>
          <w:szCs w:val="32"/>
          <w:highlight w:val="none"/>
          <w:lang w:bidi="ar"/>
        </w:rPr>
        <w:t>文化服务圈。</w:t>
      </w:r>
      <w:r>
        <w:rPr>
          <w:rFonts w:ascii="Times New Roman" w:hAnsi="Times New Roman" w:cs="Times New Roman"/>
          <w:color w:val="auto"/>
          <w:kern w:val="0"/>
          <w:szCs w:val="32"/>
          <w:highlight w:val="none"/>
          <w:lang w:bidi="ar"/>
        </w:rPr>
        <w:t>建设城乡一体、优质普惠的现代公共文化服务系统，构建绿园区、街（镇）、社区（村）三级公共文化设施网络，推动基本公共文化服务标准化</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均等化</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优质化发展，提高公共文化服务设施整体效率，全面提高全区公共文化设施每百万人拥有量。</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推进基层公共文化服务点建设。</w:t>
      </w:r>
      <w:r>
        <w:rPr>
          <w:rFonts w:ascii="Times New Roman" w:hAnsi="Times New Roman" w:cs="Times New Roman"/>
          <w:color w:val="auto"/>
          <w:kern w:val="0"/>
          <w:szCs w:val="32"/>
          <w:highlight w:val="none"/>
          <w:lang w:bidi="ar"/>
        </w:rPr>
        <w:t>推动公共文化设施建设分支机构、服务网点，推动公共文化设施向社会免费开放。充分发挥绿园区优势，广泛开展文化进基层和群众性文化活动。加强乡镇、村及社区基层文化设施建设，打造集图书阅览、文化活动、培训教育、展览展示为一体的基层综合文化服务中心。</w:t>
      </w:r>
    </w:p>
    <w:p>
      <w:pPr>
        <w:pStyle w:val="19"/>
        <w:pageBreakBefore w:val="0"/>
        <w:wordWrap/>
        <w:overflowPunct/>
        <w:autoSpaceDE/>
        <w:autoSpaceDN/>
        <w:bidi w:val="0"/>
        <w:spacing w:line="530" w:lineRule="exact"/>
        <w:rPr>
          <w:rFonts w:hint="eastAsia"/>
          <w:color w:val="auto"/>
          <w:highlight w:val="none"/>
        </w:rPr>
      </w:pPr>
      <w:r>
        <w:rPr>
          <w:rFonts w:ascii="Times New Roman" w:hAnsi="Times New Roman" w:cs="Times New Roman"/>
          <w:b/>
          <w:bCs/>
          <w:color w:val="auto"/>
          <w:kern w:val="0"/>
          <w:szCs w:val="32"/>
          <w:highlight w:val="none"/>
          <w:lang w:bidi="ar"/>
        </w:rPr>
        <w:t>加快构建智慧公共文化体系。</w:t>
      </w:r>
      <w:r>
        <w:rPr>
          <w:rFonts w:ascii="Times New Roman" w:hAnsi="Times New Roman" w:cs="Times New Roman"/>
          <w:color w:val="auto"/>
          <w:kern w:val="0"/>
          <w:szCs w:val="32"/>
          <w:highlight w:val="none"/>
          <w:lang w:bidi="ar"/>
        </w:rPr>
        <w:t>依托人工智能、云计算、物联网等先进技术，打造“智慧公共文化体系”。构建文化中枢系统，</w:t>
      </w:r>
      <w:r>
        <w:rPr>
          <w:rFonts w:hint="eastAsia" w:ascii="Times New Roman" w:hAnsi="Times New Roman" w:cs="Times New Roman"/>
          <w:color w:val="auto"/>
          <w:kern w:val="0"/>
          <w:szCs w:val="32"/>
          <w:highlight w:val="none"/>
          <w:lang w:val="en-US" w:eastAsia="zh-CN" w:bidi="ar"/>
        </w:rPr>
        <w:t>推动</w:t>
      </w:r>
      <w:r>
        <w:rPr>
          <w:rFonts w:ascii="Times New Roman" w:hAnsi="Times New Roman" w:cs="Times New Roman"/>
          <w:color w:val="auto"/>
          <w:kern w:val="0"/>
          <w:szCs w:val="32"/>
          <w:highlight w:val="none"/>
          <w:lang w:bidi="ar"/>
        </w:rPr>
        <w:t>区级文化大数据中心</w:t>
      </w:r>
      <w:r>
        <w:rPr>
          <w:rFonts w:hint="eastAsia" w:ascii="Times New Roman" w:hAnsi="Times New Roman" w:cs="Times New Roman"/>
          <w:color w:val="auto"/>
          <w:kern w:val="0"/>
          <w:szCs w:val="32"/>
          <w:highlight w:val="none"/>
          <w:lang w:val="en-US" w:eastAsia="zh-CN" w:bidi="ar"/>
        </w:rPr>
        <w:t>建设</w:t>
      </w:r>
      <w:r>
        <w:rPr>
          <w:rFonts w:ascii="Times New Roman" w:hAnsi="Times New Roman" w:cs="Times New Roman"/>
          <w:color w:val="auto"/>
          <w:kern w:val="0"/>
          <w:szCs w:val="32"/>
          <w:highlight w:val="none"/>
          <w:lang w:bidi="ar"/>
        </w:rPr>
        <w:t>，建立文化需求智能分析系统，开发微信小程序和APP客户端，</w:t>
      </w:r>
      <w:r>
        <w:rPr>
          <w:rFonts w:hint="eastAsia" w:ascii="Times New Roman" w:hAnsi="Times New Roman" w:cs="Times New Roman"/>
          <w:color w:val="auto"/>
          <w:kern w:val="0"/>
          <w:szCs w:val="32"/>
          <w:highlight w:val="none"/>
          <w:lang w:val="en-US" w:eastAsia="zh-CN" w:bidi="ar"/>
        </w:rPr>
        <w:t>推进</w:t>
      </w:r>
      <w:r>
        <w:rPr>
          <w:rFonts w:ascii="Times New Roman" w:hAnsi="Times New Roman" w:cs="Times New Roman"/>
          <w:color w:val="auto"/>
          <w:kern w:val="0"/>
          <w:szCs w:val="32"/>
          <w:highlight w:val="none"/>
          <w:lang w:bidi="ar"/>
        </w:rPr>
        <w:t>“绿园文化云”服务平台</w:t>
      </w:r>
      <w:r>
        <w:rPr>
          <w:rFonts w:hint="eastAsia" w:ascii="Times New Roman" w:hAnsi="Times New Roman" w:cs="Times New Roman"/>
          <w:color w:val="auto"/>
          <w:kern w:val="0"/>
          <w:szCs w:val="32"/>
          <w:highlight w:val="none"/>
          <w:lang w:val="en-US" w:eastAsia="zh-CN" w:bidi="ar"/>
        </w:rPr>
        <w:t>建设</w:t>
      </w:r>
      <w:r>
        <w:rPr>
          <w:rFonts w:ascii="Times New Roman" w:hAnsi="Times New Roman" w:cs="Times New Roman"/>
          <w:color w:val="auto"/>
          <w:kern w:val="0"/>
          <w:szCs w:val="32"/>
          <w:highlight w:val="none"/>
          <w:lang w:bidi="ar"/>
        </w:rPr>
        <w:t>。打造创新数字文化服务模式，建设沉浸式文化体验项目，开发“绿园故事”系列数字内容。</w:t>
      </w:r>
    </w:p>
    <w:p>
      <w:pPr>
        <w:pStyle w:val="3"/>
        <w:pageBreakBefore w:val="0"/>
        <w:wordWrap/>
        <w:overflowPunct/>
        <w:autoSpaceDE/>
        <w:autoSpaceDN/>
        <w:bidi w:val="0"/>
        <w:spacing w:line="530" w:lineRule="exact"/>
        <w:rPr>
          <w:rFonts w:hint="eastAsia"/>
          <w:color w:val="auto"/>
          <w:highlight w:val="none"/>
        </w:rPr>
      </w:pPr>
      <w:bookmarkStart w:id="363" w:name="_Toc661526787"/>
      <w:bookmarkStart w:id="364" w:name="_Toc1484166844"/>
      <w:bookmarkStart w:id="365" w:name="_Toc796596094"/>
      <w:r>
        <w:rPr>
          <w:rFonts w:hint="eastAsia"/>
          <w:color w:val="auto"/>
          <w:highlight w:val="none"/>
        </w:rPr>
        <w:t>保护传承历史文化遗产</w:t>
      </w:r>
      <w:bookmarkEnd w:id="363"/>
      <w:bookmarkEnd w:id="364"/>
      <w:bookmarkEnd w:id="365"/>
    </w:p>
    <w:p>
      <w:pPr>
        <w:pStyle w:val="4"/>
        <w:pageBreakBefore w:val="0"/>
        <w:wordWrap/>
        <w:overflowPunct/>
        <w:autoSpaceDE/>
        <w:autoSpaceDN/>
        <w:bidi w:val="0"/>
        <w:spacing w:line="530" w:lineRule="exact"/>
        <w:rPr>
          <w:color w:val="auto"/>
          <w:highlight w:val="none"/>
        </w:rPr>
      </w:pPr>
      <w:bookmarkStart w:id="366" w:name="_Toc1369587203"/>
      <w:r>
        <w:rPr>
          <w:color w:val="auto"/>
          <w:highlight w:val="none"/>
        </w:rPr>
        <w:t>加强文化遗产保护利用</w:t>
      </w:r>
      <w:bookmarkEnd w:id="366"/>
    </w:p>
    <w:p>
      <w:pPr>
        <w:pStyle w:val="19"/>
        <w:pageBreakBefore w:val="0"/>
        <w:wordWrap/>
        <w:overflowPunct/>
        <w:autoSpaceDE/>
        <w:autoSpaceDN/>
        <w:bidi w:val="0"/>
        <w:spacing w:line="530" w:lineRule="exact"/>
        <w:ind w:firstLine="643"/>
        <w:rPr>
          <w:rFonts w:hint="eastAsia" w:ascii="Times New Roman" w:hAnsi="Times New Roman" w:eastAsia="仿宋_GB2312" w:cs="Times New Roman"/>
          <w:color w:val="auto"/>
          <w:kern w:val="0"/>
          <w:szCs w:val="32"/>
          <w:highlight w:val="none"/>
          <w:lang w:eastAsia="zh-CN" w:bidi="ar"/>
        </w:rPr>
      </w:pPr>
      <w:r>
        <w:rPr>
          <w:rFonts w:ascii="Times New Roman" w:hAnsi="Times New Roman" w:cs="Times New Roman"/>
          <w:b/>
          <w:bCs/>
          <w:color w:val="auto"/>
          <w:kern w:val="0"/>
          <w:szCs w:val="32"/>
          <w:highlight w:val="none"/>
          <w:lang w:bidi="ar"/>
        </w:rPr>
        <w:t>健全文化遗产保护利用传承体系。</w:t>
      </w:r>
      <w:r>
        <w:rPr>
          <w:rFonts w:hint="eastAsia" w:ascii="Times New Roman" w:hAnsi="Times New Roman" w:cs="Times New Roman"/>
          <w:color w:val="auto"/>
          <w:kern w:val="0"/>
          <w:szCs w:val="32"/>
          <w:highlight w:val="none"/>
          <w:lang w:bidi="ar"/>
        </w:rPr>
        <w:t>完善规划编制，探索文物、历史建筑保护活化利用新路径，传承绿园特色文脉。建立全域文化遗产传承体系，健全文化遗产保护、管理和监督制度，加大历史地段、</w:t>
      </w:r>
      <w:r>
        <w:rPr>
          <w:rFonts w:hint="eastAsia" w:ascii="Times New Roman" w:hAnsi="Times New Roman" w:cs="Times New Roman"/>
          <w:color w:val="auto"/>
          <w:kern w:val="0"/>
          <w:szCs w:val="32"/>
          <w:highlight w:val="none"/>
          <w:lang w:val="en-US" w:eastAsia="zh-CN" w:bidi="ar"/>
        </w:rPr>
        <w:t>历史</w:t>
      </w:r>
      <w:r>
        <w:rPr>
          <w:rFonts w:hint="eastAsia" w:ascii="Times New Roman" w:hAnsi="Times New Roman" w:cs="Times New Roman"/>
          <w:color w:val="auto"/>
          <w:kern w:val="0"/>
          <w:szCs w:val="32"/>
          <w:highlight w:val="none"/>
          <w:lang w:bidi="ar"/>
        </w:rPr>
        <w:t>文物、历史建筑</w:t>
      </w:r>
      <w:r>
        <w:rPr>
          <w:rFonts w:hint="eastAsia" w:ascii="Times New Roman" w:hAnsi="Times New Roman" w:cs="Times New Roman"/>
          <w:color w:val="auto"/>
          <w:kern w:val="0"/>
          <w:szCs w:val="32"/>
          <w:highlight w:val="none"/>
          <w:lang w:eastAsia="zh-CN" w:bidi="ar"/>
        </w:rPr>
        <w:t>、</w:t>
      </w:r>
      <w:r>
        <w:rPr>
          <w:rFonts w:hint="eastAsia" w:ascii="Times New Roman" w:hAnsi="Times New Roman" w:cs="Times New Roman"/>
          <w:color w:val="auto"/>
          <w:kern w:val="0"/>
          <w:szCs w:val="32"/>
          <w:highlight w:val="none"/>
          <w:lang w:bidi="ar"/>
        </w:rPr>
        <w:t>传统文化的传承</w:t>
      </w:r>
      <w:r>
        <w:rPr>
          <w:rFonts w:hint="eastAsia" w:ascii="Times New Roman" w:hAnsi="Times New Roman" w:cs="Times New Roman"/>
          <w:color w:val="auto"/>
          <w:kern w:val="0"/>
          <w:szCs w:val="32"/>
          <w:highlight w:val="none"/>
          <w:lang w:val="en-US" w:eastAsia="zh-CN" w:bidi="ar"/>
        </w:rPr>
        <w:t>和</w:t>
      </w:r>
      <w:r>
        <w:rPr>
          <w:rFonts w:hint="eastAsia" w:ascii="Times New Roman" w:hAnsi="Times New Roman" w:cs="Times New Roman"/>
          <w:color w:val="auto"/>
          <w:kern w:val="0"/>
          <w:szCs w:val="32"/>
          <w:highlight w:val="none"/>
          <w:lang w:bidi="ar"/>
        </w:rPr>
        <w:t>弘扬力度</w:t>
      </w:r>
      <w:r>
        <w:rPr>
          <w:rFonts w:hint="eastAsia" w:ascii="Times New Roman" w:hAnsi="Times New Roman" w:cs="Times New Roman"/>
          <w:color w:val="auto"/>
          <w:kern w:val="0"/>
          <w:szCs w:val="32"/>
          <w:highlight w:val="none"/>
          <w:lang w:eastAsia="zh-CN" w:bidi="ar"/>
        </w:rPr>
        <w:t>。</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完善文化遗产保护利用工作。</w:t>
      </w:r>
      <w:r>
        <w:rPr>
          <w:rFonts w:ascii="Times New Roman" w:hAnsi="Times New Roman" w:cs="Times New Roman"/>
          <w:color w:val="auto"/>
          <w:kern w:val="0"/>
          <w:szCs w:val="32"/>
          <w:highlight w:val="none"/>
          <w:lang w:bidi="ar"/>
        </w:rPr>
        <w:t>持续推进对伪满千早医院旧址、大房身烈士墓</w:t>
      </w:r>
      <w:r>
        <w:rPr>
          <w:rFonts w:hint="eastAsia" w:ascii="Times New Roman" w:hAnsi="Times New Roman" w:cs="Times New Roman"/>
          <w:color w:val="auto"/>
          <w:kern w:val="0"/>
          <w:szCs w:val="32"/>
          <w:highlight w:val="none"/>
          <w:lang w:val="en-US" w:eastAsia="zh-CN" w:bidi="ar"/>
        </w:rPr>
        <w:t>等</w:t>
      </w:r>
      <w:r>
        <w:rPr>
          <w:rFonts w:hint="eastAsia" w:ascii="Times New Roman" w:hAnsi="Times New Roman" w:cs="Times New Roman"/>
          <w:color w:val="auto"/>
          <w:kern w:val="0"/>
          <w:szCs w:val="32"/>
          <w:highlight w:val="none"/>
          <w:lang w:bidi="ar"/>
        </w:rPr>
        <w:t>文物</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历史建筑、近现代革命文化遗址</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工业文化遗存的保护利用工作，完成古树名木建档立案和挂牌保护，推动历史文化遗产保护与城市更新相结合，加强城乡整体风貌与特色要素保护。</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hint="eastAsia" w:ascii="Times New Roman" w:hAnsi="Times New Roman" w:cs="Times New Roman"/>
          <w:b/>
          <w:bCs/>
          <w:color w:val="auto"/>
          <w:kern w:val="0"/>
          <w:szCs w:val="32"/>
          <w:highlight w:val="none"/>
          <w:lang w:eastAsia="zh-CN" w:bidi="ar"/>
        </w:rPr>
        <w:t>提升</w:t>
      </w:r>
      <w:r>
        <w:rPr>
          <w:rFonts w:ascii="Times New Roman" w:hAnsi="Times New Roman" w:cs="Times New Roman"/>
          <w:b/>
          <w:bCs/>
          <w:color w:val="auto"/>
          <w:kern w:val="0"/>
          <w:szCs w:val="32"/>
          <w:highlight w:val="none"/>
          <w:lang w:bidi="ar"/>
        </w:rPr>
        <w:t>非物质文化遗产保护传承水平。</w:t>
      </w:r>
      <w:r>
        <w:rPr>
          <w:rFonts w:ascii="Times New Roman" w:hAnsi="Times New Roman" w:cs="Times New Roman"/>
          <w:color w:val="auto"/>
          <w:kern w:val="0"/>
          <w:szCs w:val="32"/>
          <w:highlight w:val="none"/>
          <w:lang w:bidi="ar"/>
        </w:rPr>
        <w:t>加强郭丽传统手工艺布鞋等省级非物质文化遗产的保护力度，加大各级非物质文化遗产</w:t>
      </w:r>
      <w:r>
        <w:rPr>
          <w:rFonts w:hint="eastAsia" w:ascii="Times New Roman" w:hAnsi="Times New Roman" w:cs="Times New Roman"/>
          <w:color w:val="auto"/>
          <w:kern w:val="0"/>
          <w:szCs w:val="32"/>
          <w:highlight w:val="none"/>
          <w:lang w:val="en-US" w:eastAsia="zh-CN" w:bidi="ar"/>
        </w:rPr>
        <w:t>传承</w:t>
      </w:r>
      <w:r>
        <w:rPr>
          <w:rFonts w:ascii="Times New Roman" w:hAnsi="Times New Roman" w:cs="Times New Roman"/>
          <w:color w:val="auto"/>
          <w:kern w:val="0"/>
          <w:szCs w:val="32"/>
          <w:highlight w:val="none"/>
          <w:lang w:bidi="ar"/>
        </w:rPr>
        <w:t>人培养力度，积极申报省级、市级非遗项目，进一步加强与媒体合作，形成非遗文化IP，让非遗文化转化为可参与、可传播的文旅产品。</w:t>
      </w:r>
    </w:p>
    <w:p>
      <w:pPr>
        <w:pStyle w:val="4"/>
        <w:pageBreakBefore w:val="0"/>
        <w:wordWrap/>
        <w:overflowPunct/>
        <w:autoSpaceDE/>
        <w:autoSpaceDN/>
        <w:bidi w:val="0"/>
        <w:spacing w:line="530" w:lineRule="exact"/>
        <w:rPr>
          <w:color w:val="auto"/>
          <w:highlight w:val="none"/>
        </w:rPr>
      </w:pPr>
      <w:bookmarkStart w:id="367" w:name="_Toc1922392275"/>
      <w:r>
        <w:rPr>
          <w:color w:val="auto"/>
          <w:highlight w:val="none"/>
        </w:rPr>
        <w:t>加强历史文化挖掘</w:t>
      </w:r>
      <w:bookmarkEnd w:id="367"/>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建立历史建筑资源活化利用和常态保护机制。</w:t>
      </w:r>
      <w:r>
        <w:rPr>
          <w:rFonts w:ascii="Times New Roman" w:hAnsi="Times New Roman" w:cs="Times New Roman"/>
          <w:color w:val="auto"/>
          <w:kern w:val="0"/>
          <w:szCs w:val="32"/>
          <w:highlight w:val="none"/>
          <w:lang w:bidi="ar"/>
        </w:rPr>
        <w:t>建立绿园区文化遗产数字化档案库，开展历史文化资源普查、研究阐述、展示宣传等行动，推进文化遗产资源共享和活化利用。建立历史建筑全生命周期管理制度，制定分级分类保护标准，明确活化利用负面清单。</w:t>
      </w:r>
    </w:p>
    <w:p>
      <w:pPr>
        <w:pStyle w:val="19"/>
        <w:pageBreakBefore w:val="0"/>
        <w:wordWrap/>
        <w:overflowPunct/>
        <w:autoSpaceDE/>
        <w:autoSpaceDN/>
        <w:bidi w:val="0"/>
        <w:spacing w:line="530" w:lineRule="exact"/>
        <w:rPr>
          <w:rFonts w:hint="eastAsia"/>
          <w:color w:val="auto"/>
          <w:highlight w:val="none"/>
        </w:rPr>
      </w:pPr>
      <w:r>
        <w:rPr>
          <w:rFonts w:ascii="Times New Roman" w:hAnsi="Times New Roman" w:cs="Times New Roman"/>
          <w:b/>
          <w:bCs/>
          <w:color w:val="auto"/>
          <w:kern w:val="0"/>
          <w:szCs w:val="32"/>
          <w:highlight w:val="none"/>
          <w:lang w:bidi="ar"/>
        </w:rPr>
        <w:t>加强文化地标建设。</w:t>
      </w:r>
      <w:r>
        <w:rPr>
          <w:rFonts w:ascii="Times New Roman" w:hAnsi="Times New Roman" w:cs="Times New Roman"/>
          <w:color w:val="auto"/>
          <w:kern w:val="0"/>
          <w:szCs w:val="32"/>
          <w:highlight w:val="none"/>
          <w:lang w:bidi="ar"/>
        </w:rPr>
        <w:t>实施绿园</w:t>
      </w:r>
      <w:r>
        <w:rPr>
          <w:rFonts w:hint="eastAsia" w:ascii="Times New Roman" w:hAnsi="Times New Roman" w:cs="Times New Roman"/>
          <w:color w:val="auto"/>
          <w:kern w:val="0"/>
          <w:szCs w:val="32"/>
          <w:highlight w:val="none"/>
          <w:lang w:val="en-US" w:eastAsia="zh-CN" w:bidi="ar"/>
        </w:rPr>
        <w:t>工业文化、航空文化、关东文化等</w:t>
      </w:r>
      <w:r>
        <w:rPr>
          <w:rFonts w:ascii="Times New Roman" w:hAnsi="Times New Roman" w:cs="Times New Roman"/>
          <w:color w:val="auto"/>
          <w:kern w:val="0"/>
          <w:szCs w:val="32"/>
          <w:highlight w:val="none"/>
          <w:lang w:bidi="ar"/>
        </w:rPr>
        <w:t>特色文化IP培育工程，突出绿园文化符号，充分发挥空军航空策源地、轨道客车摇篮等美誉价值，依托文化旧址、工业遗存，打造一批有历史</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有故事、有情怀的热门景点。开展城市规划建设评估，建设一批承载绿园独特文化记忆、富有时代特色的文化街区</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建筑群落和文化景观公园，打造绿园文化新地标。</w:t>
      </w:r>
    </w:p>
    <w:p>
      <w:pPr>
        <w:pStyle w:val="3"/>
        <w:pageBreakBefore w:val="0"/>
        <w:wordWrap/>
        <w:overflowPunct/>
        <w:autoSpaceDE/>
        <w:autoSpaceDN/>
        <w:bidi w:val="0"/>
        <w:spacing w:line="530" w:lineRule="exact"/>
        <w:rPr>
          <w:rFonts w:hint="eastAsia"/>
          <w:color w:val="auto"/>
          <w:highlight w:val="none"/>
        </w:rPr>
      </w:pPr>
      <w:bookmarkStart w:id="368" w:name="_Toc977496460"/>
      <w:bookmarkStart w:id="369" w:name="_Toc755496810"/>
      <w:bookmarkStart w:id="370" w:name="_Toc757868590"/>
      <w:r>
        <w:rPr>
          <w:rFonts w:hint="eastAsia"/>
          <w:color w:val="auto"/>
          <w:highlight w:val="none"/>
        </w:rPr>
        <w:t>推动文旅深度融合发展</w:t>
      </w:r>
      <w:bookmarkEnd w:id="368"/>
      <w:bookmarkEnd w:id="369"/>
      <w:bookmarkEnd w:id="370"/>
    </w:p>
    <w:p>
      <w:pPr>
        <w:pStyle w:val="4"/>
        <w:pageBreakBefore w:val="0"/>
        <w:wordWrap/>
        <w:overflowPunct/>
        <w:autoSpaceDE/>
        <w:autoSpaceDN/>
        <w:bidi w:val="0"/>
        <w:spacing w:line="530" w:lineRule="exact"/>
        <w:rPr>
          <w:color w:val="auto"/>
          <w:highlight w:val="none"/>
        </w:rPr>
      </w:pPr>
      <w:bookmarkStart w:id="371" w:name="_Toc1711564606"/>
      <w:r>
        <w:rPr>
          <w:color w:val="auto"/>
          <w:highlight w:val="none"/>
        </w:rPr>
        <w:t>培育工业文化新业态</w:t>
      </w:r>
      <w:bookmarkEnd w:id="371"/>
    </w:p>
    <w:p>
      <w:pPr>
        <w:pStyle w:val="19"/>
        <w:pageBreakBefore w:val="0"/>
        <w:wordWrap/>
        <w:overflowPunct/>
        <w:autoSpaceDE/>
        <w:autoSpaceDN/>
        <w:bidi w:val="0"/>
        <w:spacing w:line="530" w:lineRule="exact"/>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打造工业记忆旅游名片。</w:t>
      </w:r>
      <w:r>
        <w:rPr>
          <w:rFonts w:ascii="Times New Roman" w:hAnsi="Times New Roman" w:cs="Times New Roman"/>
          <w:color w:val="auto"/>
          <w:kern w:val="0"/>
          <w:szCs w:val="32"/>
          <w:highlight w:val="none"/>
          <w:lang w:bidi="ar"/>
        </w:rPr>
        <w:t>激活遗产复合价值，重点保护与活化中车长客、皓月等代表性工业资源，实施“工业锈带”向“文化秀带”转型工程，对具有历史价值的老厂房、生产线等遗存建筑进行保护性修缮，探索改造废弃厂房为工业博物馆、主题展馆或创意产业园，融入沉浸式体验项目。推动工业遗产功能复合化，将工业遗产转化为兼具科普教育、文化传承与旅游观光功能的“工业记忆综合体”，形成“工业记忆+现代文旅”特色品牌矩阵。</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构建“两车”工业全产业链体验体系。</w:t>
      </w:r>
      <w:r>
        <w:rPr>
          <w:rFonts w:ascii="Times New Roman" w:hAnsi="Times New Roman" w:cs="Times New Roman"/>
          <w:color w:val="auto"/>
          <w:kern w:val="0"/>
          <w:szCs w:val="32"/>
          <w:highlight w:val="none"/>
          <w:lang w:bidi="ar"/>
        </w:rPr>
        <w:t>深化产学研游融合，联合一汽集团、中车长客等龙头企业，开发覆盖“研学</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生产</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运维”全链条工业研学旅游线路，针对青少年群体设计“汽车制造探秘”“新能源汽车技术实训”等主题课程</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面向社会游客推出“轨道装备智造之旅</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汽车文化溯源行”等特色产品。创新“产学研游”一体化服务模式，嵌入生产线参观、工程师讲堂、手工组装实践等互动环节，打造“可看、可学、可玩”的工业体验目的地。</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探索工业场景智慧文旅新路径。</w:t>
      </w:r>
      <w:r>
        <w:rPr>
          <w:rFonts w:ascii="Times New Roman" w:hAnsi="Times New Roman" w:cs="Times New Roman"/>
          <w:color w:val="auto"/>
          <w:kern w:val="0"/>
          <w:szCs w:val="32"/>
          <w:highlight w:val="none"/>
          <w:lang w:bidi="ar"/>
        </w:rPr>
        <w:t>创新数字体验模式，运用虚拟现实（VR）、增强现实（AR）等技术复原绿园区老工业场景，开发“数字工业记忆”体验项目。建设工业文化数字展厅，集成三维建模、全景导览、虚拟讲解员等功能，实现线上虚拟游览与线下实体展陈的有机衔接，让游客突破时空限制深度感知工业发展历程，为工业文化传承注入科技活力。</w:t>
      </w:r>
    </w:p>
    <w:p>
      <w:pPr>
        <w:pStyle w:val="4"/>
        <w:pageBreakBefore w:val="0"/>
        <w:wordWrap/>
        <w:overflowPunct/>
        <w:autoSpaceDE/>
        <w:autoSpaceDN/>
        <w:bidi w:val="0"/>
        <w:spacing w:line="530" w:lineRule="exact"/>
        <w:rPr>
          <w:color w:val="auto"/>
          <w:highlight w:val="none"/>
        </w:rPr>
      </w:pPr>
      <w:bookmarkStart w:id="372" w:name="_Toc722881477"/>
      <w:r>
        <w:rPr>
          <w:color w:val="auto"/>
          <w:highlight w:val="none"/>
        </w:rPr>
        <w:t>推进</w:t>
      </w:r>
      <w:r>
        <w:rPr>
          <w:rFonts w:hint="eastAsia"/>
          <w:color w:val="auto"/>
          <w:highlight w:val="none"/>
        </w:rPr>
        <w:t>“</w:t>
      </w:r>
      <w:r>
        <w:rPr>
          <w:color w:val="auto"/>
          <w:highlight w:val="none"/>
        </w:rPr>
        <w:t>文化＋</w:t>
      </w:r>
      <w:r>
        <w:rPr>
          <w:rFonts w:hint="eastAsia" w:ascii="楷体_GB2312" w:hAnsi="楷体_GB2312" w:eastAsia="楷体_GB2312" w:cs="楷体_GB2312"/>
          <w:color w:val="auto"/>
          <w:highlight w:val="none"/>
        </w:rPr>
        <w:t>”</w:t>
      </w:r>
      <w:r>
        <w:rPr>
          <w:color w:val="auto"/>
          <w:highlight w:val="none"/>
        </w:rPr>
        <w:t>新模式</w:t>
      </w:r>
      <w:bookmarkEnd w:id="372"/>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推进“文化＋科技”融合，打造数字文化体验场景。</w:t>
      </w:r>
      <w:r>
        <w:rPr>
          <w:rFonts w:ascii="Times New Roman" w:hAnsi="Times New Roman" w:cs="Times New Roman"/>
          <w:color w:val="auto"/>
          <w:kern w:val="0"/>
          <w:szCs w:val="32"/>
          <w:highlight w:val="none"/>
          <w:lang w:bidi="ar"/>
        </w:rPr>
        <w:t>推动传统文化产业与虚拟现实、增强现实、人工智能等技术深度融合。协调</w:t>
      </w:r>
      <w:r>
        <w:rPr>
          <w:rFonts w:hint="eastAsia" w:ascii="Times New Roman" w:hAnsi="Times New Roman" w:cs="Times New Roman"/>
          <w:color w:val="auto"/>
          <w:kern w:val="0"/>
          <w:szCs w:val="32"/>
          <w:highlight w:val="none"/>
          <w:lang w:val="en-US" w:eastAsia="zh-CN" w:bidi="ar"/>
        </w:rPr>
        <w:t>蓝天公园、锦江公园、天嘉公园</w:t>
      </w:r>
      <w:r>
        <w:rPr>
          <w:rFonts w:ascii="Times New Roman" w:hAnsi="Times New Roman" w:cs="Times New Roman"/>
          <w:color w:val="auto"/>
          <w:kern w:val="0"/>
          <w:szCs w:val="32"/>
          <w:highlight w:val="none"/>
          <w:lang w:bidi="ar"/>
        </w:rPr>
        <w:t>等</w:t>
      </w:r>
      <w:r>
        <w:rPr>
          <w:rFonts w:hint="eastAsia" w:ascii="Times New Roman" w:hAnsi="Times New Roman" w:cs="Times New Roman"/>
          <w:color w:val="auto"/>
          <w:kern w:val="0"/>
          <w:szCs w:val="32"/>
          <w:highlight w:val="none"/>
          <w:lang w:val="en-US" w:eastAsia="zh-CN" w:bidi="ar"/>
        </w:rPr>
        <w:t>生态景观</w:t>
      </w:r>
      <w:r>
        <w:rPr>
          <w:rFonts w:ascii="Times New Roman" w:hAnsi="Times New Roman" w:cs="Times New Roman"/>
          <w:color w:val="auto"/>
          <w:kern w:val="0"/>
          <w:szCs w:val="32"/>
          <w:highlight w:val="none"/>
          <w:lang w:bidi="ar"/>
        </w:rPr>
        <w:t>开展“数字文旅”项目，开发AR实景导览、全息文化展演等互动体验。</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推进“文化+康养”融合，构建文旅康养服务体系。</w:t>
      </w:r>
      <w:r>
        <w:rPr>
          <w:rFonts w:ascii="Times New Roman" w:hAnsi="Times New Roman" w:cs="Times New Roman"/>
          <w:color w:val="auto"/>
          <w:kern w:val="0"/>
          <w:szCs w:val="32"/>
          <w:highlight w:val="none"/>
          <w:lang w:bidi="ar"/>
        </w:rPr>
        <w:t>探索“文化疗愈”新模式。在</w:t>
      </w:r>
      <w:r>
        <w:rPr>
          <w:rFonts w:hint="eastAsia" w:ascii="Times New Roman" w:hAnsi="Times New Roman" w:cs="Times New Roman"/>
          <w:color w:val="auto"/>
          <w:kern w:val="0"/>
          <w:szCs w:val="32"/>
          <w:highlight w:val="none"/>
          <w:lang w:val="en-US" w:eastAsia="zh-CN" w:bidi="ar"/>
        </w:rPr>
        <w:t>长春西站、</w:t>
      </w:r>
      <w:r>
        <w:rPr>
          <w:rFonts w:ascii="Times New Roman" w:hAnsi="Times New Roman" w:cs="Times New Roman"/>
          <w:color w:val="auto"/>
          <w:kern w:val="0"/>
          <w:szCs w:val="32"/>
          <w:highlight w:val="none"/>
          <w:lang w:bidi="ar"/>
        </w:rPr>
        <w:t>雁鸣湖周边康养集聚区引入非遗养生、传统中医文化体验项目，开发“森林康养+文化研学”“中医药文化+休闲度假”等主题产品，配套建设文化主题民宿、健康管理中心，形成“文旅+康养”产业链，满足多元化健康消费需求。</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推进“文化+农业”融合，赋能乡村振兴新路径。</w:t>
      </w:r>
      <w:r>
        <w:rPr>
          <w:rFonts w:ascii="Times New Roman" w:hAnsi="Times New Roman" w:cs="Times New Roman"/>
          <w:color w:val="auto"/>
          <w:kern w:val="0"/>
          <w:szCs w:val="32"/>
          <w:highlight w:val="none"/>
          <w:lang w:bidi="ar"/>
        </w:rPr>
        <w:t>推动农耕文化与旅游、文创深度结合。依托</w:t>
      </w:r>
      <w:r>
        <w:rPr>
          <w:rFonts w:hint="eastAsia" w:ascii="Times New Roman" w:hAnsi="Times New Roman" w:cs="Times New Roman"/>
          <w:color w:val="auto"/>
          <w:kern w:val="0"/>
          <w:szCs w:val="32"/>
          <w:highlight w:val="none"/>
          <w:lang w:val="en-US" w:eastAsia="zh-CN" w:bidi="ar"/>
        </w:rPr>
        <w:t>绿园区广袤丰饶的现代农业</w:t>
      </w:r>
      <w:r>
        <w:rPr>
          <w:rFonts w:ascii="Times New Roman" w:hAnsi="Times New Roman" w:cs="Times New Roman"/>
          <w:color w:val="auto"/>
          <w:kern w:val="0"/>
          <w:szCs w:val="32"/>
          <w:highlight w:val="none"/>
          <w:lang w:bidi="ar"/>
        </w:rPr>
        <w:t>资源，打造</w:t>
      </w:r>
      <w:r>
        <w:rPr>
          <w:rFonts w:hint="eastAsia" w:ascii="Times New Roman" w:hAnsi="Times New Roman" w:cs="Times New Roman"/>
          <w:color w:val="auto"/>
          <w:kern w:val="0"/>
          <w:szCs w:val="32"/>
          <w:highlight w:val="none"/>
          <w:lang w:val="en-US" w:eastAsia="zh-CN" w:bidi="ar"/>
        </w:rPr>
        <w:t>集田园观光、农事体验、民俗文化于一体的</w:t>
      </w:r>
      <w:r>
        <w:rPr>
          <w:rFonts w:ascii="Times New Roman" w:hAnsi="Times New Roman" w:cs="Times New Roman"/>
          <w:color w:val="auto"/>
          <w:kern w:val="0"/>
          <w:szCs w:val="32"/>
          <w:highlight w:val="none"/>
          <w:lang w:bidi="ar"/>
        </w:rPr>
        <w:t>“田园文化体验游”</w:t>
      </w:r>
      <w:r>
        <w:rPr>
          <w:rFonts w:hint="eastAsia" w:ascii="Times New Roman" w:hAnsi="Times New Roman" w:cs="Times New Roman"/>
          <w:color w:val="auto"/>
          <w:kern w:val="0"/>
          <w:szCs w:val="32"/>
          <w:highlight w:val="none"/>
          <w:lang w:val="en-US" w:eastAsia="zh-CN" w:bidi="ar"/>
        </w:rPr>
        <w:t>精品</w:t>
      </w:r>
      <w:r>
        <w:rPr>
          <w:rFonts w:ascii="Times New Roman" w:hAnsi="Times New Roman" w:cs="Times New Roman"/>
          <w:color w:val="auto"/>
          <w:kern w:val="0"/>
          <w:szCs w:val="32"/>
          <w:highlight w:val="none"/>
          <w:lang w:bidi="ar"/>
        </w:rPr>
        <w:t>线路，开发农产品IP包装、农事研学课程、乡村手工艺市集等项目，举办“丰收大会”“田园艺术鉴赏”等活动，以文化赋能提升农产品附加值，促进农村一二三产业融合发展。</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推进“文化＋冰雪”融合，激发冬季文旅经济活力。</w:t>
      </w:r>
      <w:r>
        <w:rPr>
          <w:rFonts w:ascii="Times New Roman" w:hAnsi="Times New Roman" w:cs="Times New Roman"/>
          <w:color w:val="auto"/>
          <w:kern w:val="0"/>
          <w:szCs w:val="32"/>
          <w:highlight w:val="none"/>
          <w:lang w:bidi="ar"/>
        </w:rPr>
        <w:t>依托独特的冰雪资源与文化底蕴，将文旅与冰雪、非遗融合，打造</w:t>
      </w:r>
      <w:r>
        <w:rPr>
          <w:rFonts w:hint="eastAsia" w:ascii="Times New Roman" w:hAnsi="Times New Roman" w:cs="Times New Roman"/>
          <w:color w:val="auto"/>
          <w:kern w:val="0"/>
          <w:szCs w:val="32"/>
          <w:highlight w:val="none"/>
          <w:lang w:val="en-US" w:eastAsia="zh-CN" w:bidi="ar"/>
        </w:rPr>
        <w:t>航空文化</w:t>
      </w:r>
      <w:r>
        <w:rPr>
          <w:rFonts w:ascii="Times New Roman" w:hAnsi="Times New Roman" w:cs="Times New Roman"/>
          <w:color w:val="auto"/>
          <w:kern w:val="0"/>
          <w:szCs w:val="32"/>
          <w:highlight w:val="none"/>
          <w:lang w:bidi="ar"/>
        </w:rPr>
        <w:t>冰雕公园，在园区冰雪景观中融入非遗元素，筛选具备条件的村镇街道，聚焦服饰与仪式体验，扩大非遗传承覆盖面，与抖音、快手等媒体合作推广，参与话题挑战等内容，筑牢“银色吉林”文化根基，擦亮绿园区“诗和远方”的名片。</w:t>
      </w:r>
    </w:p>
    <w:p>
      <w:pPr>
        <w:pStyle w:val="4"/>
        <w:pageBreakBefore w:val="0"/>
        <w:wordWrap/>
        <w:overflowPunct/>
        <w:autoSpaceDE/>
        <w:autoSpaceDN/>
        <w:bidi w:val="0"/>
        <w:spacing w:line="530" w:lineRule="exact"/>
        <w:rPr>
          <w:color w:val="auto"/>
          <w:highlight w:val="none"/>
        </w:rPr>
      </w:pPr>
      <w:bookmarkStart w:id="373" w:name="_Toc1153992860"/>
      <w:r>
        <w:rPr>
          <w:color w:val="auto"/>
          <w:highlight w:val="none"/>
        </w:rPr>
        <w:t>优化文旅环境</w:t>
      </w:r>
      <w:bookmarkEnd w:id="373"/>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健全文旅服务标准体系。</w:t>
      </w:r>
      <w:r>
        <w:rPr>
          <w:rFonts w:ascii="Times New Roman" w:hAnsi="Times New Roman" w:cs="Times New Roman"/>
          <w:color w:val="auto"/>
          <w:kern w:val="0"/>
          <w:szCs w:val="32"/>
          <w:highlight w:val="none"/>
          <w:lang w:bidi="ar"/>
        </w:rPr>
        <w:t>制定专项标准，涵盖讲解导览、安全保障、设施维护等环节。建立文旅服务人员定期培训机制，联合龙头企业开展文化知识培训，培育一批“懂文化、善讲解、精服务”的专业人才队伍，提升文旅服务专业化、规范化水平。</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完善文旅基础设施网络。</w:t>
      </w:r>
      <w:r>
        <w:rPr>
          <w:rFonts w:ascii="Times New Roman" w:hAnsi="Times New Roman" w:cs="Times New Roman"/>
          <w:color w:val="auto"/>
          <w:kern w:val="0"/>
          <w:szCs w:val="32"/>
          <w:highlight w:val="none"/>
          <w:lang w:bidi="ar"/>
        </w:rPr>
        <w:t>构建“快进慢游”的文旅基础设施体系，</w:t>
      </w:r>
      <w:r>
        <w:rPr>
          <w:rFonts w:hint="eastAsia" w:ascii="仿宋" w:hAnsi="仿宋" w:eastAsia="仿宋" w:cs="仿宋"/>
          <w:color w:val="auto"/>
          <w:kern w:val="0"/>
          <w:sz w:val="31"/>
          <w:szCs w:val="31"/>
          <w:highlight w:val="none"/>
          <w:lang w:val="en-US" w:eastAsia="zh-CN" w:bidi="ar"/>
        </w:rPr>
        <w:t>协调</w:t>
      </w:r>
      <w:r>
        <w:rPr>
          <w:rFonts w:hint="eastAsia" w:ascii="仿宋" w:hAnsi="仿宋" w:eastAsia="仿宋" w:cs="仿宋"/>
          <w:color w:val="auto"/>
          <w:kern w:val="0"/>
          <w:szCs w:val="32"/>
          <w:highlight w:val="none"/>
          <w:lang w:bidi="ar"/>
        </w:rPr>
        <w:t>长</w:t>
      </w:r>
      <w:r>
        <w:rPr>
          <w:rFonts w:ascii="Times New Roman" w:hAnsi="Times New Roman" w:cs="Times New Roman"/>
          <w:color w:val="auto"/>
          <w:kern w:val="0"/>
          <w:szCs w:val="32"/>
          <w:highlight w:val="none"/>
          <w:lang w:bidi="ar"/>
        </w:rPr>
        <w:t>春航博城、长春公园等重点区域增设无障碍设施、游客休憩区、智能导览设备，优化景区周边交通接驳系统，在关东文化园等生态文化景区完善智慧停车、电子票务等数字化服务设施。鼓励发展文化主题酒店、康养酒店等新业态，推动设施适老化改造、增设儿童托管等服务，充分释放人力，提升服务品质。</w:t>
      </w:r>
    </w:p>
    <w:p>
      <w:pPr>
        <w:pStyle w:val="19"/>
        <w:pageBreakBefore w:val="0"/>
        <w:wordWrap/>
        <w:overflowPunct/>
        <w:autoSpaceDE/>
        <w:autoSpaceDN/>
        <w:bidi w:val="0"/>
        <w:spacing w:line="530" w:lineRule="exact"/>
        <w:rPr>
          <w:rFonts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加强文旅安全保障体系建设。</w:t>
      </w:r>
      <w:r>
        <w:rPr>
          <w:rFonts w:ascii="Times New Roman" w:hAnsi="Times New Roman" w:cs="Times New Roman"/>
          <w:color w:val="auto"/>
          <w:kern w:val="0"/>
          <w:szCs w:val="32"/>
          <w:highlight w:val="none"/>
          <w:lang w:bidi="ar"/>
        </w:rPr>
        <w:t>制定专项安全评估标准，重点加强老旧厂房结构安全、特种设备运行维护等监督。完善大型文旅活动应急预案，落实风险评估和分级管控，</w:t>
      </w:r>
      <w:r>
        <w:rPr>
          <w:rFonts w:hint="eastAsia" w:ascii="Times New Roman" w:hAnsi="Times New Roman" w:cs="Times New Roman"/>
          <w:color w:val="auto"/>
          <w:kern w:val="0"/>
          <w:szCs w:val="32"/>
          <w:highlight w:val="none"/>
          <w:lang w:val="en-US" w:eastAsia="zh-CN" w:bidi="ar"/>
        </w:rPr>
        <w:t>加强文旅安全智慧监管力度</w:t>
      </w:r>
      <w:r>
        <w:rPr>
          <w:rFonts w:hint="eastAsia" w:ascii="Times New Roman" w:hAnsi="Times New Roman" w:cs="Times New Roman"/>
          <w:color w:val="auto"/>
          <w:kern w:val="0"/>
          <w:szCs w:val="32"/>
          <w:highlight w:val="none"/>
          <w:lang w:eastAsia="zh-CN" w:bidi="ar"/>
        </w:rPr>
        <w:t>，</w:t>
      </w:r>
      <w:r>
        <w:rPr>
          <w:rFonts w:ascii="Times New Roman" w:hAnsi="Times New Roman" w:cs="Times New Roman"/>
          <w:color w:val="auto"/>
          <w:kern w:val="0"/>
          <w:szCs w:val="32"/>
          <w:highlight w:val="none"/>
          <w:lang w:bidi="ar"/>
        </w:rPr>
        <w:t>确保文旅市场安全有序运行。</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22"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szCs w:val="36"/>
                <w:highlight w:val="none"/>
              </w:rPr>
            </w:pPr>
            <w:r>
              <w:rPr>
                <w:color w:val="auto"/>
                <w:highlight w:val="none"/>
              </w:rPr>
              <w:t xml:space="preserve">专栏 </w:t>
            </w:r>
            <w:r>
              <w:rPr>
                <w:rFonts w:hint="eastAsia"/>
                <w:b w:val="0"/>
                <w:i w:val="0"/>
                <w:color w:val="auto"/>
                <w:highlight w:val="none"/>
                <w:lang w:val="en-US" w:eastAsia="zh-CN"/>
              </w:rPr>
              <w:t>5</w:t>
            </w:r>
            <w:r>
              <w:rPr>
                <w:color w:val="auto"/>
                <w:highlight w:val="none"/>
              </w:rPr>
              <w:t>文化旅游发展重点项目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22" w:type="dxa"/>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color w:val="auto"/>
                <w:highlight w:val="none"/>
              </w:rPr>
              <w:t>.青怡坊国际旅游文创产业园</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项目位于长春西站核心区域，青怡坊国际旅游文创产业园A地块占地</w:t>
            </w:r>
            <w:r>
              <w:rPr>
                <w:rFonts w:ascii="Times New Roman" w:hAnsi="Times New Roman"/>
                <w:b w:val="0"/>
                <w:i w:val="0"/>
                <w:color w:val="auto"/>
                <w:highlight w:val="none"/>
              </w:rPr>
              <w:t>4</w:t>
            </w:r>
            <w:r>
              <w:rPr>
                <w:color w:val="auto"/>
                <w:highlight w:val="none"/>
              </w:rPr>
              <w:t>.</w:t>
            </w:r>
            <w:r>
              <w:rPr>
                <w:rFonts w:ascii="Times New Roman" w:hAnsi="Times New Roman"/>
                <w:b w:val="0"/>
                <w:i w:val="0"/>
                <w:color w:val="auto"/>
                <w:highlight w:val="none"/>
              </w:rPr>
              <w:t>9</w:t>
            </w:r>
            <w:r>
              <w:rPr>
                <w:color w:val="auto"/>
                <w:highlight w:val="none"/>
              </w:rPr>
              <w:t>万平方米，建筑面积约</w:t>
            </w:r>
            <w:r>
              <w:rPr>
                <w:rFonts w:ascii="Times New Roman" w:hAnsi="Times New Roman"/>
                <w:b w:val="0"/>
                <w:i w:val="0"/>
                <w:color w:val="auto"/>
                <w:highlight w:val="none"/>
              </w:rPr>
              <w:t>13</w:t>
            </w:r>
            <w:r>
              <w:rPr>
                <w:color w:val="auto"/>
                <w:highlight w:val="none"/>
              </w:rPr>
              <w:t>万平方米，计划总投资约</w:t>
            </w:r>
            <w:r>
              <w:rPr>
                <w:rFonts w:ascii="Times New Roman" w:hAnsi="Times New Roman"/>
                <w:b w:val="0"/>
                <w:i w:val="0"/>
                <w:color w:val="auto"/>
                <w:highlight w:val="none"/>
              </w:rPr>
              <w:t>12</w:t>
            </w:r>
            <w:r>
              <w:rPr>
                <w:color w:val="auto"/>
                <w:highlight w:val="none"/>
              </w:rPr>
              <w:t>.</w:t>
            </w:r>
            <w:r>
              <w:rPr>
                <w:rFonts w:ascii="Times New Roman" w:hAnsi="Times New Roman"/>
                <w:b w:val="0"/>
                <w:i w:val="0"/>
                <w:color w:val="auto"/>
                <w:highlight w:val="none"/>
              </w:rPr>
              <w:t>6</w:t>
            </w:r>
            <w:r>
              <w:rPr>
                <w:color w:val="auto"/>
                <w:highlight w:val="none"/>
              </w:rPr>
              <w:t>亿元，建设亚洲最大室内植物公园和全景式沉浸戏剧主题公园。</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2</w:t>
            </w:r>
            <w:r>
              <w:rPr>
                <w:color w:val="auto"/>
                <w:highlight w:val="none"/>
              </w:rPr>
              <w:t>.历史建筑保护与活化利用工程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推进日本关东军空军司令部旧址、伪满千早医院旧址</w:t>
            </w:r>
            <w:r>
              <w:rPr>
                <w:rFonts w:ascii="Times New Roman" w:hAnsi="Times New Roman"/>
                <w:b w:val="0"/>
                <w:i w:val="0"/>
                <w:color w:val="auto"/>
                <w:highlight w:val="none"/>
              </w:rPr>
              <w:t>2</w:t>
            </w:r>
            <w:r>
              <w:rPr>
                <w:color w:val="auto"/>
                <w:highlight w:val="none"/>
              </w:rPr>
              <w:t>个市级文物保护单位和日人中学旧址、长春市结核病院旧址、长春客车厂生活区、关东军陆军医院旧址、长春大房身机场五个未定级文物保护单位及春草路</w:t>
            </w:r>
            <w:r>
              <w:rPr>
                <w:rFonts w:ascii="Times New Roman" w:hAnsi="Times New Roman"/>
                <w:b w:val="0"/>
                <w:i w:val="0"/>
                <w:color w:val="auto"/>
                <w:highlight w:val="none"/>
              </w:rPr>
              <w:t>68</w:t>
            </w:r>
            <w:r>
              <w:rPr>
                <w:color w:val="auto"/>
                <w:highlight w:val="none"/>
              </w:rPr>
              <w:t>号建筑开展保护与活化利用。</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3</w:t>
            </w:r>
            <w:r>
              <w:rPr>
                <w:color w:val="auto"/>
                <w:highlight w:val="none"/>
              </w:rPr>
              <w:t>.中车长客</w:t>
            </w:r>
            <w:r>
              <w:rPr>
                <w:rFonts w:hint="eastAsia"/>
                <w:color w:val="auto"/>
                <w:highlight w:val="none"/>
              </w:rPr>
              <w:t>铁路</w:t>
            </w:r>
            <w:r>
              <w:rPr>
                <w:color w:val="auto"/>
                <w:highlight w:val="none"/>
              </w:rPr>
              <w:t>博物馆主题展馆活化利用</w:t>
            </w:r>
            <w:r>
              <w:rPr>
                <w:rFonts w:hint="eastAsia"/>
                <w:color w:val="auto"/>
                <w:highlight w:val="none"/>
              </w:rPr>
              <w:t>及氢能示范项目</w:t>
            </w:r>
            <w:r>
              <w:rPr>
                <w:color w:val="auto"/>
                <w:highlight w:val="none"/>
              </w:rPr>
              <w:t>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重点改造废弃厂房为</w:t>
            </w:r>
            <w:r>
              <w:rPr>
                <w:rFonts w:hint="eastAsia"/>
                <w:color w:val="auto"/>
                <w:highlight w:val="none"/>
              </w:rPr>
              <w:t>铁路</w:t>
            </w:r>
            <w:r>
              <w:rPr>
                <w:color w:val="auto"/>
                <w:highlight w:val="none"/>
              </w:rPr>
              <w:t>博物馆、主题展馆或创意产业园，</w:t>
            </w:r>
            <w:r>
              <w:rPr>
                <w:rFonts w:hint="eastAsia"/>
                <w:color w:val="auto"/>
                <w:highlight w:val="none"/>
                <w:lang w:eastAsia="zh-CN"/>
              </w:rPr>
              <w:t>植入</w:t>
            </w:r>
            <w:r>
              <w:rPr>
                <w:color w:val="auto"/>
                <w:highlight w:val="none"/>
              </w:rPr>
              <w:t>沉浸式体验项目，转化为兼具科普教育、文化传承与观光功能的复合空间。</w:t>
            </w:r>
            <w:r>
              <w:rPr>
                <w:rFonts w:hint="eastAsia"/>
                <w:color w:val="auto"/>
                <w:highlight w:val="none"/>
              </w:rPr>
              <w:t>打造“氢春号”文旅新IP，串联航博</w:t>
            </w:r>
            <w:r>
              <w:rPr>
                <w:rFonts w:hint="eastAsia"/>
                <w:color w:val="auto"/>
                <w:highlight w:val="none"/>
                <w:u w:val="none"/>
                <w:lang w:val="en-US" w:eastAsia="zh-CN"/>
              </w:rPr>
              <w:t>城</w:t>
            </w:r>
            <w:r>
              <w:rPr>
                <w:rFonts w:hint="eastAsia"/>
                <w:color w:val="auto"/>
                <w:highlight w:val="none"/>
              </w:rPr>
              <w:t>、长客高铁工业旅游基地。</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4</w:t>
            </w:r>
            <w:r>
              <w:rPr>
                <w:color w:val="auto"/>
                <w:highlight w:val="none"/>
              </w:rPr>
              <w:t>.工业文化数字展厅建设项目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运用虚拟现实（VR）、增强现实（AR）等技术复原绿园区老工业场景，开发</w:t>
            </w:r>
            <w:r>
              <w:rPr>
                <w:rFonts w:hint="eastAsia"/>
                <w:color w:val="auto"/>
                <w:highlight w:val="none"/>
              </w:rPr>
              <w:t>“</w:t>
            </w:r>
            <w:r>
              <w:rPr>
                <w:color w:val="auto"/>
                <w:highlight w:val="none"/>
              </w:rPr>
              <w:t>数字工业记忆”体验项目，集成三维建模、全景导览等功能，实现线上虚拟游览与线下实体展陈联动。</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5</w:t>
            </w:r>
            <w:r>
              <w:rPr>
                <w:color w:val="auto"/>
                <w:highlight w:val="none"/>
              </w:rPr>
              <w:t>.</w:t>
            </w:r>
            <w:r>
              <w:rPr>
                <w:rFonts w:hint="eastAsia"/>
                <w:color w:val="auto"/>
                <w:highlight w:val="none"/>
              </w:rPr>
              <w:t>“</w:t>
            </w:r>
            <w:r>
              <w:rPr>
                <w:color w:val="auto"/>
                <w:highlight w:val="none"/>
              </w:rPr>
              <w:t>数字文旅</w:t>
            </w:r>
            <w:r>
              <w:rPr>
                <w:rFonts w:hint="eastAsia" w:ascii="楷体_GB2312" w:hAnsi="楷体_GB2312" w:cs="楷体_GB2312"/>
                <w:color w:val="auto"/>
                <w:highlight w:val="none"/>
              </w:rPr>
              <w:t>”</w:t>
            </w:r>
            <w:r>
              <w:rPr>
                <w:color w:val="auto"/>
                <w:highlight w:val="none"/>
              </w:rPr>
              <w:t>建设项目（绿园区文化大数据平台）</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长春公园、关东文化园、同心湖公园</w:t>
            </w:r>
            <w:r>
              <w:rPr>
                <w:rFonts w:hint="eastAsia"/>
                <w:color w:val="auto"/>
                <w:highlight w:val="none"/>
                <w:lang w:eastAsia="zh-CN"/>
              </w:rPr>
              <w:t>、</w:t>
            </w:r>
            <w:r>
              <w:rPr>
                <w:rFonts w:hint="eastAsia"/>
                <w:color w:val="auto"/>
                <w:highlight w:val="none"/>
              </w:rPr>
              <w:t>蓝天公园、锦江公园、天嘉公园</w:t>
            </w:r>
            <w:r>
              <w:rPr>
                <w:color w:val="auto"/>
                <w:highlight w:val="none"/>
              </w:rPr>
              <w:t>等景区开发AR实景导览、全息文化展演等，推动传统文化产业与虚拟显示、增强现实、人工智能技术深度融合。</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6</w:t>
            </w:r>
            <w:r>
              <w:rPr>
                <w:color w:val="auto"/>
                <w:highlight w:val="none"/>
              </w:rPr>
              <w:t>.非遗养生、传统中医文化体验项目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在长春西客站、雁鸣湖周边开发</w:t>
            </w:r>
            <w:r>
              <w:rPr>
                <w:rFonts w:hint="eastAsia"/>
                <w:color w:val="auto"/>
                <w:highlight w:val="none"/>
              </w:rPr>
              <w:t>“</w:t>
            </w:r>
            <w:r>
              <w:rPr>
                <w:color w:val="auto"/>
                <w:highlight w:val="none"/>
              </w:rPr>
              <w:t>森林康养+文化研学”</w:t>
            </w:r>
            <w:r>
              <w:rPr>
                <w:rFonts w:hint="eastAsia"/>
                <w:color w:val="auto"/>
                <w:highlight w:val="none"/>
              </w:rPr>
              <w:t>“</w:t>
            </w:r>
            <w:r>
              <w:rPr>
                <w:color w:val="auto"/>
                <w:highlight w:val="none"/>
              </w:rPr>
              <w:t>中医药文化+休闲度假”等主题产品，配套建设文化主题民宿、健康管理中心。</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7</w:t>
            </w:r>
            <w:r>
              <w:rPr>
                <w:color w:val="auto"/>
                <w:highlight w:val="none"/>
              </w:rPr>
              <w:t>.文旅基础设施网络完善工程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无障碍设施、游客休憩区、智能导览设备，景区周边交通接驳系统，智慧停车、电子票务等数字化服务设施建设。</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8</w:t>
            </w:r>
            <w:r>
              <w:rPr>
                <w:color w:val="auto"/>
                <w:highlight w:val="none"/>
              </w:rPr>
              <w:t>.合心镇现代农业产业园</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推动农耕文化与旅游、文创深度结合</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9</w:t>
            </w:r>
            <w:r>
              <w:rPr>
                <w:rFonts w:hint="eastAsia"/>
                <w:color w:val="auto"/>
                <w:highlight w:val="none"/>
                <w:lang w:val="en-US" w:eastAsia="zh-CN"/>
              </w:rPr>
              <w:t>.</w:t>
            </w:r>
            <w:r>
              <w:rPr>
                <w:color w:val="auto"/>
                <w:highlight w:val="none"/>
              </w:rPr>
              <w:t>欢乐荟文旅综合体项目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打造以清真美食为特色，牛羊文化为主题，世界风情为场景，具有展示展销、会议论坛、宴会婚庆、购物娱乐、网红打卡等多功能的</w:t>
            </w:r>
            <w:r>
              <w:rPr>
                <w:rFonts w:hint="eastAsia"/>
                <w:color w:val="auto"/>
                <w:highlight w:val="none"/>
              </w:rPr>
              <w:t>“</w:t>
            </w:r>
            <w:r>
              <w:rPr>
                <w:color w:val="auto"/>
                <w:highlight w:val="none"/>
              </w:rPr>
              <w:t>吃喝玩、游研学”一体化的文旅商综合体。</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rFonts w:hint="eastAsia" w:ascii="Times New Roman" w:hAnsi="Times New Roman"/>
                <w:b w:val="0"/>
                <w:i w:val="0"/>
                <w:color w:val="auto"/>
                <w:highlight w:val="none"/>
                <w:lang w:val="en-US" w:eastAsia="zh-CN"/>
              </w:rPr>
              <w:t>0</w:t>
            </w:r>
            <w:r>
              <w:rPr>
                <w:color w:val="auto"/>
                <w:highlight w:val="none"/>
              </w:rPr>
              <w:t>.一汽苗圃文旅开发项目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rFonts w:hint="eastAsia"/>
                <w:color w:val="auto"/>
                <w:highlight w:val="none"/>
                <w:lang w:eastAsia="zh-CN"/>
              </w:rPr>
              <w:t>集</w:t>
            </w:r>
            <w:r>
              <w:rPr>
                <w:color w:val="auto"/>
                <w:highlight w:val="none"/>
              </w:rPr>
              <w:t>餐饮、住宿、市集为一体的文旅项目。项目预计总投资</w:t>
            </w:r>
            <w:r>
              <w:rPr>
                <w:rFonts w:ascii="Times New Roman" w:hAnsi="Times New Roman"/>
                <w:b w:val="0"/>
                <w:i w:val="0"/>
                <w:color w:val="auto"/>
                <w:highlight w:val="none"/>
              </w:rPr>
              <w:t>2</w:t>
            </w:r>
            <w:r>
              <w:rPr>
                <w:color w:val="auto"/>
                <w:highlight w:val="none"/>
              </w:rPr>
              <w:t>亿元，项目位于隆化路与西环城路交汇，占地面积</w:t>
            </w:r>
            <w:r>
              <w:rPr>
                <w:rFonts w:ascii="Times New Roman" w:hAnsi="Times New Roman"/>
                <w:b w:val="0"/>
                <w:i w:val="0"/>
                <w:color w:val="auto"/>
                <w:highlight w:val="none"/>
              </w:rPr>
              <w:t>14</w:t>
            </w:r>
            <w:r>
              <w:rPr>
                <w:color w:val="auto"/>
                <w:highlight w:val="none"/>
              </w:rPr>
              <w:t>.</w:t>
            </w:r>
            <w:r>
              <w:rPr>
                <w:rFonts w:hint="eastAsia"/>
                <w:color w:val="auto"/>
                <w:highlight w:val="none"/>
                <w:lang w:val="en-US" w:eastAsia="zh-CN"/>
              </w:rPr>
              <w:t>4</w:t>
            </w:r>
            <w:r>
              <w:rPr>
                <w:color w:val="auto"/>
                <w:highlight w:val="none"/>
              </w:rPr>
              <w:t>万平方米，目前该公司正在规划详细设计方案。</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rFonts w:hint="eastAsia" w:ascii="Times New Roman" w:hAnsi="Times New Roman"/>
                <w:b w:val="0"/>
                <w:i w:val="0"/>
                <w:color w:val="auto"/>
                <w:highlight w:val="none"/>
                <w:lang w:val="en-US" w:eastAsia="zh-CN"/>
              </w:rPr>
              <w:t>1</w:t>
            </w:r>
            <w:r>
              <w:rPr>
                <w:color w:val="auto"/>
                <w:highlight w:val="none"/>
              </w:rPr>
              <w:t>.皓月国家级工业旅游胜地项目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依托皓月省级工业旅游基地的发展基础，加大工业旅游开发力度，全面展示皓月在肉牛全产业链的深度融合与多元创新。</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1</w:t>
            </w:r>
            <w:r>
              <w:rPr>
                <w:rFonts w:hint="eastAsia" w:ascii="Times New Roman" w:hAnsi="Times New Roman"/>
                <w:b w:val="0"/>
                <w:i w:val="0"/>
                <w:color w:val="auto"/>
                <w:highlight w:val="none"/>
                <w:lang w:val="en-US" w:eastAsia="zh-CN"/>
              </w:rPr>
              <w:t>2</w:t>
            </w:r>
            <w:r>
              <w:rPr>
                <w:rFonts w:hint="eastAsia"/>
                <w:color w:val="auto"/>
                <w:highlight w:val="none"/>
              </w:rPr>
              <w:t>.全牛文化高新博物馆</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rFonts w:hint="eastAsia"/>
                <w:color w:val="auto"/>
                <w:highlight w:val="none"/>
              </w:rPr>
              <w:t>将肉牛文化与</w:t>
            </w:r>
            <w:r>
              <w:rPr>
                <w:rFonts w:hint="eastAsia"/>
                <w:color w:val="auto"/>
                <w:highlight w:val="none"/>
                <w:lang w:val="en-US" w:eastAsia="zh-CN"/>
              </w:rPr>
              <w:t>中国航空博物馆</w:t>
            </w:r>
            <w:r>
              <w:rPr>
                <w:rFonts w:hint="eastAsia"/>
                <w:color w:val="auto"/>
                <w:highlight w:val="none"/>
              </w:rPr>
              <w:t>、轨道客车博物馆资源联动，构建旅游线路。</w:t>
            </w:r>
          </w:p>
        </w:tc>
      </w:tr>
    </w:tbl>
    <w:p>
      <w:pPr>
        <w:pStyle w:val="19"/>
        <w:pageBreakBefore w:val="0"/>
        <w:wordWrap/>
        <w:overflowPunct/>
        <w:autoSpaceDE/>
        <w:autoSpaceDN/>
        <w:bidi w:val="0"/>
        <w:spacing w:line="530" w:lineRule="exact"/>
        <w:rPr>
          <w:rFonts w:hint="eastAsia" w:ascii="Times New Roman" w:hAnsi="Times New Roman" w:cs="Times New Roman"/>
          <w:color w:val="auto"/>
          <w:kern w:val="0"/>
          <w:szCs w:val="32"/>
          <w:highlight w:val="none"/>
          <w:lang w:bidi="ar"/>
        </w:rPr>
      </w:pPr>
    </w:p>
    <w:p>
      <w:pPr>
        <w:pStyle w:val="2"/>
        <w:pageBreakBefore w:val="0"/>
        <w:wordWrap/>
        <w:overflowPunct/>
        <w:autoSpaceDE/>
        <w:autoSpaceDN/>
        <w:bidi w:val="0"/>
        <w:spacing w:line="530" w:lineRule="exact"/>
        <w:rPr>
          <w:rFonts w:hint="eastAsia" w:ascii="仿宋_GB2312" w:hAnsi="仿宋_GB2312" w:eastAsia="仿宋_GB2312" w:cs="仿宋_GB2312"/>
          <w:color w:val="auto"/>
          <w:sz w:val="32"/>
          <w:szCs w:val="32"/>
          <w:highlight w:val="none"/>
        </w:rPr>
        <w:sectPr>
          <w:pgSz w:w="11906" w:h="16838"/>
          <w:pgMar w:top="1440" w:right="1800" w:bottom="1440" w:left="1800" w:header="720" w:footer="720" w:gutter="0"/>
          <w:pgNumType w:fmt="decimal"/>
          <w:cols w:space="425" w:num="1"/>
          <w:docGrid w:type="lines" w:linePitch="312" w:charSpace="0"/>
        </w:sectPr>
      </w:pPr>
      <w:bookmarkStart w:id="374" w:name="_Toc470143941"/>
      <w:bookmarkStart w:id="375" w:name="_Toc176632377"/>
      <w:bookmarkStart w:id="376" w:name="_Toc1852220748"/>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377" w:name="_Toc638062446"/>
      <w:bookmarkStart w:id="378" w:name="_Toc1913528823"/>
      <w:bookmarkStart w:id="379" w:name="_Toc68247284"/>
      <w:bookmarkStart w:id="380" w:name="_Toc571606406"/>
      <w:bookmarkStart w:id="381" w:name="_Toc724574944"/>
      <w:r>
        <w:rPr>
          <w:rFonts w:hint="eastAsia" w:ascii="方正小标宋简体" w:hAnsi="方正小标宋简体" w:eastAsia="方正小标宋简体" w:cs="方正小标宋简体"/>
          <w:color w:val="auto"/>
          <w:highlight w:val="none"/>
        </w:rPr>
        <w:t>绘就乡村振兴画卷，打造农业农村现代化典范</w:t>
      </w:r>
      <w:bookmarkEnd w:id="374"/>
      <w:bookmarkEnd w:id="375"/>
      <w:bookmarkEnd w:id="376"/>
      <w:bookmarkEnd w:id="377"/>
      <w:bookmarkEnd w:id="378"/>
      <w:bookmarkEnd w:id="379"/>
      <w:bookmarkEnd w:id="380"/>
      <w:bookmarkEnd w:id="381"/>
    </w:p>
    <w:p>
      <w:pPr>
        <w:pStyle w:val="19"/>
        <w:pageBreakBefore w:val="0"/>
        <w:wordWrap/>
        <w:overflowPunct/>
        <w:autoSpaceDE/>
        <w:autoSpaceDN/>
        <w:bidi w:val="0"/>
        <w:spacing w:line="530" w:lineRule="exact"/>
        <w:rPr>
          <w:rFonts w:hint="eastAsia"/>
          <w:color w:val="auto"/>
          <w:highlight w:val="none"/>
        </w:rPr>
      </w:pPr>
      <w:r>
        <w:rPr>
          <w:color w:val="auto"/>
          <w:highlight w:val="none"/>
          <w:lang w:val="en-US" w:eastAsia="zh-CN"/>
        </w:rPr>
        <w:t>绿园区将系统构建城乡发展新格局，通过基础设施与公共服务一体化促进城乡深度融合；坚决筑牢粮食安全底线，强化黑土地保护与农业科技创新；实施村庄分类布局与宜居化改造，完善基层治理体系，全面提升乡村发展活力、人居环境与农民福祉，扎实推动城乡融合与乡村振兴。</w:t>
      </w:r>
    </w:p>
    <w:p>
      <w:pPr>
        <w:pStyle w:val="3"/>
        <w:pageBreakBefore w:val="0"/>
        <w:wordWrap/>
        <w:overflowPunct/>
        <w:autoSpaceDE/>
        <w:autoSpaceDN/>
        <w:bidi w:val="0"/>
        <w:spacing w:line="530" w:lineRule="exact"/>
        <w:rPr>
          <w:color w:val="auto"/>
          <w:highlight w:val="none"/>
        </w:rPr>
      </w:pPr>
      <w:bookmarkStart w:id="382" w:name="_Toc1698805318"/>
      <w:bookmarkStart w:id="383" w:name="_Toc463885342"/>
      <w:bookmarkStart w:id="384" w:name="_Toc837960085"/>
      <w:bookmarkStart w:id="385" w:name="_Toc1529680451"/>
      <w:bookmarkStart w:id="386" w:name="_Toc1116879074"/>
      <w:bookmarkStart w:id="387" w:name="_Toc351164724"/>
      <w:bookmarkStart w:id="388" w:name="_Toc275834690"/>
      <w:bookmarkStart w:id="389" w:name="_Toc1294512611"/>
      <w:r>
        <w:rPr>
          <w:color w:val="auto"/>
          <w:highlight w:val="none"/>
        </w:rPr>
        <w:t>推动新型城镇化建设</w:t>
      </w:r>
      <w:bookmarkEnd w:id="382"/>
      <w:bookmarkEnd w:id="383"/>
      <w:bookmarkEnd w:id="384"/>
      <w:bookmarkEnd w:id="385"/>
      <w:bookmarkEnd w:id="386"/>
      <w:bookmarkEnd w:id="387"/>
      <w:bookmarkEnd w:id="388"/>
      <w:bookmarkEnd w:id="389"/>
    </w:p>
    <w:p>
      <w:pPr>
        <w:pStyle w:val="4"/>
        <w:pageBreakBefore w:val="0"/>
        <w:wordWrap/>
        <w:overflowPunct/>
        <w:autoSpaceDE/>
        <w:autoSpaceDN/>
        <w:bidi w:val="0"/>
        <w:spacing w:line="530" w:lineRule="exact"/>
        <w:rPr>
          <w:color w:val="auto"/>
          <w:highlight w:val="none"/>
        </w:rPr>
      </w:pPr>
      <w:bookmarkStart w:id="390" w:name="_Toc716625320"/>
      <w:bookmarkStart w:id="391" w:name="_Toc397391569"/>
      <w:bookmarkStart w:id="392" w:name="_Toc232038291"/>
      <w:bookmarkStart w:id="393" w:name="_Toc1025892761"/>
      <w:r>
        <w:rPr>
          <w:color w:val="auto"/>
          <w:highlight w:val="none"/>
        </w:rPr>
        <w:t>优化城乡空间发展格局</w:t>
      </w:r>
      <w:bookmarkEnd w:id="390"/>
      <w:bookmarkEnd w:id="391"/>
      <w:bookmarkEnd w:id="392"/>
      <w:bookmarkEnd w:id="393"/>
    </w:p>
    <w:p>
      <w:pPr>
        <w:pStyle w:val="19"/>
        <w:pageBreakBefore w:val="0"/>
        <w:wordWrap/>
        <w:overflowPunct/>
        <w:autoSpaceDE/>
        <w:autoSpaceDN/>
        <w:bidi w:val="0"/>
        <w:spacing w:line="530" w:lineRule="exact"/>
        <w:ind w:firstLine="643"/>
        <w:rPr>
          <w:rFonts w:hint="default" w:eastAsia="仿宋_GB2312"/>
          <w:color w:val="auto"/>
          <w:highlight w:val="none"/>
          <w:lang w:val="en-US" w:eastAsia="zh-CN" w:bidi="ar"/>
        </w:rPr>
      </w:pPr>
      <w:r>
        <w:rPr>
          <w:b/>
          <w:bCs/>
          <w:color w:val="auto"/>
          <w:highlight w:val="none"/>
          <w:lang w:bidi="ar"/>
        </w:rPr>
        <w:t>优化全区城镇体系。</w:t>
      </w:r>
      <w:r>
        <w:rPr>
          <w:color w:val="auto"/>
          <w:highlight w:val="none"/>
          <w:lang w:bidi="ar"/>
        </w:rPr>
        <w:t>以融入长春现代化都市圈建设为统领，以老城为核心，以绿园经济开发区、皓月产业园区为两翼，以合心镇、西新镇</w:t>
      </w:r>
      <w:r>
        <w:rPr>
          <w:rFonts w:hint="eastAsia"/>
          <w:color w:val="auto"/>
          <w:highlight w:val="none"/>
          <w:lang w:eastAsia="zh-CN" w:bidi="ar"/>
        </w:rPr>
        <w:t>、</w:t>
      </w:r>
      <w:r>
        <w:rPr>
          <w:color w:val="auto"/>
          <w:highlight w:val="none"/>
          <w:lang w:bidi="ar"/>
        </w:rPr>
        <w:t>城西镇为支点，以特色乡村为纽带，构建“一核两园三镇多村”城镇发展体系，打造绿园区新型城镇化建设重要载体。</w:t>
      </w:r>
      <w:r>
        <w:rPr>
          <w:rFonts w:hint="eastAsia"/>
          <w:color w:val="auto"/>
          <w:highlight w:val="none"/>
          <w:lang w:bidi="ar"/>
        </w:rPr>
        <w:t>“一核”老城通过医疗教育结对、农产直供、业态疏解及政务代办，辐射乡村。“两园”推行“企业+代工点”“园区+合作社+农户”模式，</w:t>
      </w:r>
      <w:r>
        <w:rPr>
          <w:rFonts w:hint="eastAsia"/>
          <w:color w:val="auto"/>
          <w:highlight w:val="none"/>
          <w:lang w:eastAsia="zh-CN" w:bidi="ar"/>
        </w:rPr>
        <w:t>设立</w:t>
      </w:r>
      <w:r>
        <w:rPr>
          <w:rFonts w:hint="eastAsia"/>
          <w:color w:val="auto"/>
          <w:highlight w:val="none"/>
          <w:lang w:bidi="ar"/>
        </w:rPr>
        <w:t>帮扶车间</w:t>
      </w:r>
      <w:r>
        <w:rPr>
          <w:rFonts w:hint="eastAsia"/>
          <w:color w:val="auto"/>
          <w:highlight w:val="none"/>
          <w:lang w:eastAsia="zh-CN" w:bidi="ar"/>
        </w:rPr>
        <w:t>、提</w:t>
      </w:r>
      <w:r>
        <w:rPr>
          <w:rFonts w:hint="eastAsia"/>
          <w:color w:val="auto"/>
          <w:highlight w:val="none"/>
          <w:lang w:bidi="ar"/>
        </w:rPr>
        <w:t>供技术资金，共享配套设施</w:t>
      </w:r>
      <w:r>
        <w:rPr>
          <w:rFonts w:hint="eastAsia"/>
          <w:color w:val="auto"/>
          <w:highlight w:val="none"/>
          <w:lang w:eastAsia="zh-CN" w:bidi="ar"/>
        </w:rPr>
        <w:t>，</w:t>
      </w:r>
      <w:r>
        <w:rPr>
          <w:rFonts w:hint="eastAsia"/>
          <w:color w:val="auto"/>
          <w:highlight w:val="none"/>
          <w:lang w:bidi="ar"/>
        </w:rPr>
        <w:t>拓宽就业渠道。“三镇”</w:t>
      </w:r>
      <w:r>
        <w:rPr>
          <w:rFonts w:hint="eastAsia"/>
          <w:color w:val="auto"/>
          <w:highlight w:val="none"/>
          <w:lang w:val="en-US" w:eastAsia="zh-CN" w:bidi="ar"/>
        </w:rPr>
        <w:t>形成综合</w:t>
      </w:r>
      <w:r>
        <w:rPr>
          <w:rFonts w:hint="eastAsia"/>
          <w:color w:val="auto"/>
          <w:highlight w:val="none"/>
          <w:lang w:bidi="ar"/>
        </w:rPr>
        <w:t>服务中心，合心做培训</w:t>
      </w:r>
      <w:r>
        <w:rPr>
          <w:rFonts w:hint="eastAsia"/>
          <w:color w:val="auto"/>
          <w:highlight w:val="none"/>
          <w:lang w:eastAsia="zh-CN" w:bidi="ar"/>
        </w:rPr>
        <w:t>、</w:t>
      </w:r>
      <w:r>
        <w:rPr>
          <w:rFonts w:hint="eastAsia"/>
          <w:color w:val="auto"/>
          <w:highlight w:val="none"/>
          <w:lang w:val="en-US" w:eastAsia="zh-CN" w:bidi="ar"/>
        </w:rPr>
        <w:t>西新做配套、</w:t>
      </w:r>
      <w:r>
        <w:rPr>
          <w:rFonts w:hint="eastAsia"/>
          <w:color w:val="auto"/>
          <w:highlight w:val="none"/>
          <w:lang w:bidi="ar"/>
        </w:rPr>
        <w:t>城西搞冷链，差异化发展后勤、文旅、电商。“多村”育“一村一品”，治人居环境，借“订单农业”“合作社代工”联动各方。</w:t>
      </w:r>
    </w:p>
    <w:p>
      <w:pPr>
        <w:pStyle w:val="19"/>
        <w:pageBreakBefore w:val="0"/>
        <w:wordWrap/>
        <w:overflowPunct/>
        <w:autoSpaceDE/>
        <w:autoSpaceDN/>
        <w:bidi w:val="0"/>
        <w:spacing w:line="530" w:lineRule="exact"/>
        <w:rPr>
          <w:rFonts w:hint="default"/>
          <w:color w:val="auto"/>
          <w:highlight w:val="none"/>
          <w:lang w:bidi="ar"/>
        </w:rPr>
      </w:pPr>
      <w:r>
        <w:rPr>
          <w:bCs/>
          <w:color w:val="auto"/>
          <w:highlight w:val="none"/>
          <w:lang w:bidi="ar"/>
        </w:rPr>
        <w:t>“</w:t>
      </w:r>
      <w:r>
        <w:rPr>
          <w:b/>
          <w:bCs/>
          <w:color w:val="auto"/>
          <w:highlight w:val="none"/>
          <w:lang w:bidi="ar"/>
        </w:rPr>
        <w:t>东优、中转、西融</w:t>
      </w:r>
      <w:r>
        <w:rPr>
          <w:bCs/>
          <w:color w:val="auto"/>
          <w:highlight w:val="none"/>
          <w:lang w:bidi="ar"/>
        </w:rPr>
        <w:t>”</w:t>
      </w:r>
      <w:r>
        <w:rPr>
          <w:b/>
          <w:bCs/>
          <w:color w:val="auto"/>
          <w:highlight w:val="none"/>
          <w:lang w:bidi="ar"/>
        </w:rPr>
        <w:t>发展布局。</w:t>
      </w:r>
      <w:r>
        <w:rPr>
          <w:color w:val="auto"/>
          <w:highlight w:val="none"/>
          <w:lang w:bidi="ar"/>
        </w:rPr>
        <w:t>推动东部老城区更新提档，优化老城服务业发展，运用大数据、人工智能等技术，提升城市治理水平，推动城市管理智能化、精细化，优化公共服务供给，增加优质教育、医疗、文化资源供给，提升居民幸福感与获得感。推动中部工业片区产业转型，通过对“两车”产业的转型升级，延伸肉牛全产业链条，布局新材料、低空经济等新兴领域，提升产业发展韧性。推动西部农业片区融合升级，推动</w:t>
      </w:r>
      <w:r>
        <w:rPr>
          <w:rFonts w:hint="eastAsia"/>
          <w:color w:val="auto"/>
          <w:highlight w:val="none"/>
          <w:lang w:eastAsia="zh-CN" w:bidi="ar"/>
        </w:rPr>
        <w:t>一二三产业融合</w:t>
      </w:r>
      <w:r>
        <w:rPr>
          <w:color w:val="auto"/>
          <w:highlight w:val="none"/>
          <w:lang w:bidi="ar"/>
        </w:rPr>
        <w:t>发展，调整粮食种植结构，推动农业品牌化发展，促进乡村振兴，提升农业农村现代化水平。</w:t>
      </w:r>
    </w:p>
    <w:p>
      <w:pPr>
        <w:pStyle w:val="4"/>
        <w:pageBreakBefore w:val="0"/>
        <w:wordWrap/>
        <w:overflowPunct/>
        <w:autoSpaceDE/>
        <w:autoSpaceDN/>
        <w:bidi w:val="0"/>
        <w:spacing w:line="530" w:lineRule="exact"/>
        <w:rPr>
          <w:color w:val="auto"/>
          <w:highlight w:val="none"/>
        </w:rPr>
      </w:pPr>
      <w:bookmarkStart w:id="394" w:name="_Toc1233460864"/>
      <w:bookmarkStart w:id="395" w:name="_Toc37253885"/>
      <w:bookmarkStart w:id="396" w:name="_Toc33432364"/>
      <w:bookmarkStart w:id="397" w:name="_Toc285958013"/>
      <w:r>
        <w:rPr>
          <w:color w:val="auto"/>
          <w:highlight w:val="none"/>
        </w:rPr>
        <w:t>加快推动城乡深度融合</w:t>
      </w:r>
      <w:bookmarkEnd w:id="394"/>
      <w:bookmarkEnd w:id="395"/>
      <w:bookmarkEnd w:id="396"/>
      <w:bookmarkEnd w:id="397"/>
      <w:bookmarkStart w:id="398" w:name="_Toc27601"/>
    </w:p>
    <w:bookmarkEnd w:id="398"/>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完善城乡公共服务设施一体化。</w:t>
      </w:r>
      <w:r>
        <w:rPr>
          <w:rFonts w:hint="eastAsia"/>
          <w:color w:val="auto"/>
          <w:highlight w:val="none"/>
        </w:rPr>
        <w:t>推动未落户常住人口平等享有基本公共服务。构建“区—镇—村”三级联动的公共服务网络，重点推动优质教育和医疗资源下沉。大力发展远程医疗与在线教育，利用数字技术打破地理隔阂，让农村居民，尤其是“一老一小”，能在家门口享受到与城市相当的医疗和教育服务，降低农民获取优质资源的负担。</w:t>
      </w:r>
    </w:p>
    <w:p>
      <w:pPr>
        <w:pStyle w:val="19"/>
        <w:pageBreakBefore w:val="0"/>
        <w:wordWrap/>
        <w:overflowPunct/>
        <w:autoSpaceDE/>
        <w:autoSpaceDN/>
        <w:bidi w:val="0"/>
        <w:spacing w:line="530" w:lineRule="exact"/>
        <w:rPr>
          <w:color w:val="auto"/>
          <w:highlight w:val="none"/>
        </w:rPr>
      </w:pPr>
      <w:r>
        <w:rPr>
          <w:b/>
          <w:bCs/>
          <w:color w:val="auto"/>
          <w:highlight w:val="none"/>
        </w:rPr>
        <w:t>加强城乡</w:t>
      </w:r>
      <w:r>
        <w:rPr>
          <w:rFonts w:hint="eastAsia"/>
          <w:b/>
          <w:bCs/>
          <w:color w:val="auto"/>
          <w:highlight w:val="none"/>
          <w:lang w:val="en-US" w:eastAsia="zh-CN"/>
        </w:rPr>
        <w:t>基础</w:t>
      </w:r>
      <w:r>
        <w:rPr>
          <w:b/>
          <w:bCs/>
          <w:color w:val="auto"/>
          <w:highlight w:val="none"/>
        </w:rPr>
        <w:t>设施一体化。</w:t>
      </w:r>
      <w:r>
        <w:rPr>
          <w:color w:val="auto"/>
          <w:highlight w:val="none"/>
        </w:rPr>
        <w:t>交通网络加快发展，</w:t>
      </w:r>
      <w:r>
        <w:rPr>
          <w:rFonts w:hint="eastAsia"/>
          <w:color w:val="auto"/>
          <w:highlight w:val="none"/>
          <w:lang w:val="en-US" w:eastAsia="zh-CN"/>
        </w:rPr>
        <w:t>重点推动城乡</w:t>
      </w:r>
      <w:r>
        <w:rPr>
          <w:color w:val="auto"/>
          <w:highlight w:val="none"/>
        </w:rPr>
        <w:t>重要道路</w:t>
      </w:r>
      <w:r>
        <w:rPr>
          <w:rFonts w:hint="eastAsia"/>
          <w:color w:val="auto"/>
          <w:highlight w:val="none"/>
          <w:lang w:val="en-US" w:eastAsia="zh-CN"/>
        </w:rPr>
        <w:t>衔接</w:t>
      </w:r>
      <w:r>
        <w:rPr>
          <w:color w:val="auto"/>
          <w:highlight w:val="none"/>
        </w:rPr>
        <w:t>，优化城乡公交线路，建设氢能轨道交通，</w:t>
      </w:r>
      <w:r>
        <w:rPr>
          <w:rFonts w:hint="eastAsia"/>
          <w:color w:val="auto"/>
          <w:highlight w:val="none"/>
          <w:lang w:val="en-US" w:eastAsia="zh-CN"/>
        </w:rPr>
        <w:t>积极推动</w:t>
      </w:r>
      <w:r>
        <w:rPr>
          <w:color w:val="auto"/>
          <w:highlight w:val="none"/>
        </w:rPr>
        <w:t>“城—镇—村”公交线路加密，在特定季节开通定制化班车。加强城乡供水一体化建设，推进农村饮水安全工程升级改造，实现城乡供水同源、同网、同质。完善城乡能源保障体系，推动天然气、电力等清洁能源向农村延伸覆盖，提升农村地区能源供应稳定性和可靠性。健全城乡物流配送网络，建设乡镇级物流集散中心和村级物流服务点，畅通农产品进城和工业品下乡双向通道，降低物流成本，激发农村消费市场活力。</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构建共建共治共享的乡村治理体系</w:t>
      </w:r>
      <w:r>
        <w:rPr>
          <w:rFonts w:hint="eastAsia"/>
          <w:b/>
          <w:bCs/>
          <w:color w:val="auto"/>
          <w:highlight w:val="none"/>
          <w:lang w:eastAsia="zh-CN"/>
        </w:rPr>
        <w:t>。</w:t>
      </w:r>
      <w:r>
        <w:rPr>
          <w:rFonts w:hint="eastAsia"/>
          <w:color w:val="auto"/>
          <w:highlight w:val="none"/>
        </w:rPr>
        <w:t>大力推广民主协商形式，建立健全村规民约，在村庄规划编制、项目立项、工程建设、资金使用和后期管护的全过程中，充分保障村民的知情权、参与权、决策权和监督权，真正做到“民事民议、民事民办、民事民管”。积极推进数字乡村与智慧城市的协同发展</w:t>
      </w:r>
      <w:r>
        <w:rPr>
          <w:rFonts w:hint="eastAsia"/>
          <w:color w:val="auto"/>
          <w:highlight w:val="none"/>
          <w:lang w:eastAsia="zh-CN"/>
        </w:rPr>
        <w:t>，</w:t>
      </w:r>
      <w:r>
        <w:rPr>
          <w:rFonts w:hint="eastAsia"/>
          <w:color w:val="auto"/>
          <w:highlight w:val="none"/>
        </w:rPr>
        <w:t>可以依托全区统一的“城市信息模型（CIM）”平台，将管理服务功能延伸至乡村。</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深化农村改革激活沉睡资产</w:t>
      </w:r>
      <w:r>
        <w:rPr>
          <w:rFonts w:hint="eastAsia"/>
          <w:b/>
          <w:bCs/>
          <w:color w:val="auto"/>
          <w:highlight w:val="none"/>
          <w:lang w:eastAsia="zh-CN"/>
        </w:rPr>
        <w:t>。</w:t>
      </w:r>
      <w:r>
        <w:rPr>
          <w:rFonts w:hint="eastAsia"/>
          <w:color w:val="auto"/>
          <w:highlight w:val="none"/>
        </w:rPr>
        <w:t>国家新型城镇化战略强调促进城乡要素双向自由流动，而实现这一目标的关键在于深化农村改革，特别是土地制度改革。稳慎推进农村宅基地</w:t>
      </w:r>
      <w:r>
        <w:rPr>
          <w:rFonts w:hint="eastAsia"/>
          <w:color w:val="auto"/>
          <w:highlight w:val="none"/>
          <w:lang w:eastAsia="zh-CN"/>
        </w:rPr>
        <w:t>“三权分置”</w:t>
      </w:r>
      <w:r>
        <w:rPr>
          <w:rFonts w:hint="eastAsia"/>
          <w:color w:val="auto"/>
          <w:highlight w:val="none"/>
        </w:rPr>
        <w:t>改革，在落实集体所有权、保障农户资格权的基础上，适度放活宅基地和农民房屋的使用权。允许村民利用闲置宅基地和农房发展乡村旅游、文创产业、仓储租赁等，使其从沉睡资产转变为能够产生持续收益的活化资本，为农民进城积累初始资本。积极探索建立进城落户农民依法自愿有偿转让相关权益的机制</w:t>
      </w:r>
      <w:r>
        <w:rPr>
          <w:rFonts w:hint="eastAsia"/>
          <w:color w:val="auto"/>
          <w:highlight w:val="none"/>
          <w:lang w:eastAsia="zh-CN"/>
        </w:rPr>
        <w:t>，</w:t>
      </w:r>
      <w:r>
        <w:rPr>
          <w:rFonts w:hint="eastAsia"/>
          <w:color w:val="auto"/>
          <w:highlight w:val="none"/>
        </w:rPr>
        <w:t>破除农民进城的后顾之忧，降低“市民化”的隐形成本。</w:t>
      </w:r>
    </w:p>
    <w:p>
      <w:pPr>
        <w:pStyle w:val="3"/>
        <w:pageBreakBefore w:val="0"/>
        <w:wordWrap/>
        <w:overflowPunct/>
        <w:autoSpaceDE/>
        <w:autoSpaceDN/>
        <w:bidi w:val="0"/>
        <w:spacing w:line="530" w:lineRule="exact"/>
        <w:rPr>
          <w:rFonts w:hint="eastAsia"/>
          <w:color w:val="auto"/>
          <w:highlight w:val="none"/>
        </w:rPr>
      </w:pPr>
      <w:bookmarkStart w:id="399" w:name="_Toc2111314336"/>
      <w:bookmarkStart w:id="400" w:name="_Toc27922505"/>
      <w:bookmarkStart w:id="401" w:name="_Toc740454312"/>
      <w:bookmarkStart w:id="402" w:name="_Toc1812601720"/>
      <w:bookmarkStart w:id="403" w:name="_Toc1208303918"/>
      <w:bookmarkStart w:id="404" w:name="_Toc1404509881"/>
      <w:bookmarkStart w:id="405" w:name="_Toc1117096757"/>
      <w:bookmarkStart w:id="406" w:name="_Toc1683924604"/>
      <w:r>
        <w:rPr>
          <w:rFonts w:hint="eastAsia"/>
          <w:color w:val="auto"/>
          <w:highlight w:val="none"/>
        </w:rPr>
        <w:t>坚决保障粮食安全底线</w:t>
      </w:r>
      <w:bookmarkEnd w:id="399"/>
      <w:bookmarkEnd w:id="400"/>
      <w:bookmarkEnd w:id="401"/>
      <w:bookmarkEnd w:id="402"/>
      <w:bookmarkEnd w:id="403"/>
      <w:bookmarkEnd w:id="404"/>
      <w:bookmarkEnd w:id="405"/>
      <w:bookmarkEnd w:id="406"/>
    </w:p>
    <w:p>
      <w:pPr>
        <w:pStyle w:val="4"/>
        <w:pageBreakBefore w:val="0"/>
        <w:wordWrap/>
        <w:overflowPunct/>
        <w:autoSpaceDE/>
        <w:autoSpaceDN/>
        <w:bidi w:val="0"/>
        <w:spacing w:line="530" w:lineRule="exact"/>
        <w:rPr>
          <w:color w:val="auto"/>
          <w:highlight w:val="none"/>
        </w:rPr>
      </w:pPr>
      <w:bookmarkStart w:id="407" w:name="_Toc457322143"/>
      <w:bookmarkStart w:id="408" w:name="_Toc1358583794"/>
      <w:bookmarkStart w:id="409" w:name="_Toc1142106489"/>
      <w:bookmarkStart w:id="410" w:name="_Toc1743152825"/>
      <w:r>
        <w:rPr>
          <w:color w:val="auto"/>
          <w:highlight w:val="none"/>
        </w:rPr>
        <w:t>黑土地保护与可持续利用</w:t>
      </w:r>
      <w:bookmarkEnd w:id="407"/>
      <w:bookmarkEnd w:id="408"/>
      <w:bookmarkEnd w:id="409"/>
      <w:bookmarkEnd w:id="410"/>
    </w:p>
    <w:p>
      <w:pPr>
        <w:pStyle w:val="19"/>
        <w:keepNext w:val="0"/>
        <w:keepLines w:val="0"/>
        <w:pageBreakBefore w:val="0"/>
        <w:kinsoku/>
        <w:wordWrap/>
        <w:overflowPunct/>
        <w:topLinePunct w:val="0"/>
        <w:autoSpaceDE/>
        <w:autoSpaceDN/>
        <w:bidi w:val="0"/>
        <w:adjustRightInd/>
        <w:snapToGrid/>
        <w:spacing w:line="530" w:lineRule="exact"/>
        <w:ind w:firstLine="643"/>
        <w:textAlignment w:val="auto"/>
        <w:rPr>
          <w:rFonts w:hint="default"/>
          <w:color w:val="auto"/>
          <w:highlight w:val="none"/>
        </w:rPr>
      </w:pPr>
      <w:r>
        <w:rPr>
          <w:b/>
          <w:bCs/>
          <w:color w:val="auto"/>
          <w:highlight w:val="none"/>
        </w:rPr>
        <w:t>强化治理，构筑水土流失防护网。</w:t>
      </w:r>
      <w:r>
        <w:rPr>
          <w:color w:val="auto"/>
          <w:highlight w:val="none"/>
        </w:rPr>
        <w:t>加强农田防护林网（带）的建设和修复，提高林网密度与质量，发挥其防风固土、调节农田小气候的生态屏障作用。</w:t>
      </w:r>
    </w:p>
    <w:p>
      <w:pPr>
        <w:keepNext w:val="0"/>
        <w:keepLines w:val="0"/>
        <w:pageBreakBefore w:val="0"/>
        <w:widowControl/>
        <w:suppressLineNumbers w:val="0"/>
        <w:kinsoku/>
        <w:wordWrap/>
        <w:overflowPunct/>
        <w:topLinePunct w:val="0"/>
        <w:autoSpaceDE/>
        <w:autoSpaceDN/>
        <w:bidi w:val="0"/>
        <w:adjustRightInd/>
        <w:snapToGrid/>
        <w:spacing w:line="530" w:lineRule="exact"/>
        <w:ind w:firstLine="643" w:firstLineChars="200"/>
        <w:jc w:val="left"/>
        <w:textAlignment w:val="auto"/>
        <w:rPr>
          <w:rFonts w:hint="eastAsia" w:ascii="仿宋" w:hAnsi="仿宋" w:eastAsia="仿宋" w:cs="仿宋"/>
          <w:color w:val="auto"/>
          <w:kern w:val="2"/>
          <w:sz w:val="32"/>
          <w:szCs w:val="40"/>
          <w:highlight w:val="none"/>
          <w:lang w:val="en-US" w:eastAsia="zh-CN" w:bidi="ar-SA"/>
        </w:rPr>
      </w:pPr>
      <w:r>
        <w:rPr>
          <w:rFonts w:hint="eastAsia" w:ascii="Times New Roman" w:hAnsi="Times New Roman" w:eastAsia="仿宋" w:cs="Times New Roman"/>
          <w:b/>
          <w:bCs/>
          <w:color w:val="auto"/>
          <w:kern w:val="2"/>
          <w:sz w:val="32"/>
          <w:szCs w:val="40"/>
          <w:highlight w:val="none"/>
          <w:lang w:val="en-US" w:eastAsia="zh-CN" w:bidi="ar-SA"/>
        </w:rPr>
        <w:t>健全黑土地保护和利用制度。</w:t>
      </w:r>
      <w:r>
        <w:rPr>
          <w:rFonts w:hint="eastAsia" w:ascii="Times New Roman" w:hAnsi="Times New Roman" w:eastAsia="仿宋" w:cs="Times New Roman"/>
          <w:color w:val="auto"/>
          <w:kern w:val="2"/>
          <w:sz w:val="32"/>
          <w:szCs w:val="40"/>
          <w:highlight w:val="none"/>
          <w:lang w:val="en-US" w:eastAsia="zh-CN" w:bidi="ar-SA"/>
        </w:rPr>
        <w:t>坚持最严格的耕地保护制度，采取工程、农艺、生物等措施，保护好“耕地中的大熊猫”。</w:t>
      </w:r>
      <w:r>
        <w:rPr>
          <w:rFonts w:hint="eastAsia" w:ascii="仿宋" w:hAnsi="仿宋" w:eastAsia="仿宋" w:cs="仿宋"/>
          <w:color w:val="auto"/>
          <w:kern w:val="2"/>
          <w:sz w:val="32"/>
          <w:szCs w:val="40"/>
          <w:highlight w:val="none"/>
          <w:lang w:val="en-US" w:eastAsia="zh-CN" w:bidi="ar-SA"/>
        </w:rPr>
        <w:t>综合考虑国土空间规划，因地制宜科学确定高标准农田建设布局。落实高标准农田项目管理工作，不断完善长效运行管护机制。</w:t>
      </w:r>
    </w:p>
    <w:p>
      <w:pPr>
        <w:pStyle w:val="19"/>
        <w:keepNext w:val="0"/>
        <w:keepLines w:val="0"/>
        <w:pageBreakBefore w:val="0"/>
        <w:widowControl w:val="0"/>
        <w:kinsoku/>
        <w:wordWrap/>
        <w:overflowPunct/>
        <w:topLinePunct w:val="0"/>
        <w:autoSpaceDE/>
        <w:autoSpaceDN/>
        <w:bidi w:val="0"/>
        <w:adjustRightInd/>
        <w:snapToGrid/>
        <w:spacing w:line="530" w:lineRule="exact"/>
        <w:ind w:firstLine="643"/>
        <w:textAlignment w:val="auto"/>
        <w:rPr>
          <w:rFonts w:hint="default"/>
          <w:color w:val="auto"/>
          <w:highlight w:val="none"/>
        </w:rPr>
      </w:pPr>
      <w:r>
        <w:rPr>
          <w:b/>
          <w:bCs/>
          <w:color w:val="auto"/>
          <w:highlight w:val="none"/>
        </w:rPr>
        <w:t>强化地理信息监测能力。</w:t>
      </w:r>
      <w:r>
        <w:rPr>
          <w:color w:val="auto"/>
          <w:highlight w:val="none"/>
        </w:rPr>
        <w:t>全面推行田长制，确保保护性耕作面积占适宜区</w:t>
      </w:r>
      <w:r>
        <w:rPr>
          <w:rFonts w:ascii="Times New Roman" w:hAnsi="Times New Roman"/>
          <w:b w:val="0"/>
          <w:i w:val="0"/>
          <w:color w:val="auto"/>
          <w:highlight w:val="none"/>
        </w:rPr>
        <w:t>70</w:t>
      </w:r>
      <w:r>
        <w:rPr>
          <w:color w:val="auto"/>
          <w:highlight w:val="none"/>
        </w:rPr>
        <w:t>%以上。构建“天空地”一体化监测网络，运用地理信息系统、遥感、定位技术，动态监测黑土地数量、质量、墒情变化，信息上图入库。完善评价与督察体系，构建覆盖全域的耕地质量监测评价体系，统一管理地力调查、质量监测、墒情数据，运用大数据精准指导保护。强化黑土地保护目标责任制考核与督查，建立奖惩机制。</w:t>
      </w:r>
    </w:p>
    <w:p>
      <w:pPr>
        <w:pStyle w:val="4"/>
        <w:pageBreakBefore w:val="0"/>
        <w:wordWrap/>
        <w:overflowPunct/>
        <w:autoSpaceDE/>
        <w:autoSpaceDN/>
        <w:bidi w:val="0"/>
        <w:spacing w:line="530" w:lineRule="exact"/>
        <w:rPr>
          <w:color w:val="auto"/>
          <w:highlight w:val="none"/>
        </w:rPr>
      </w:pPr>
      <w:bookmarkStart w:id="411" w:name="_Toc1197617401"/>
      <w:bookmarkStart w:id="412" w:name="_Toc1671690854"/>
      <w:bookmarkStart w:id="413" w:name="_Toc369284788"/>
      <w:bookmarkStart w:id="414" w:name="_Toc1174923737"/>
      <w:r>
        <w:rPr>
          <w:color w:val="auto"/>
          <w:highlight w:val="none"/>
        </w:rPr>
        <w:t>提升农业科技水平</w:t>
      </w:r>
      <w:bookmarkEnd w:id="411"/>
      <w:bookmarkEnd w:id="412"/>
      <w:bookmarkEnd w:id="413"/>
      <w:bookmarkEnd w:id="414"/>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深化农业科技自主创新与数字赋能</w:t>
      </w:r>
      <w:r>
        <w:rPr>
          <w:rFonts w:hint="eastAsia"/>
          <w:b/>
          <w:bCs/>
          <w:color w:val="auto"/>
          <w:highlight w:val="none"/>
          <w:lang w:eastAsia="zh-CN"/>
        </w:rPr>
        <w:t>。</w:t>
      </w:r>
      <w:r>
        <w:rPr>
          <w:color w:val="auto"/>
          <w:highlight w:val="none"/>
        </w:rPr>
        <w:t>支持吉林大学、农科院与本地企业开展产学研合作，攻关农作物优质高效生产土壤保育、保护性耕作与耕地质量提升等相关技术难点</w:t>
      </w:r>
      <w:r>
        <w:rPr>
          <w:rFonts w:hint="eastAsia"/>
          <w:color w:val="auto"/>
          <w:highlight w:val="none"/>
          <w:lang w:eastAsia="zh-CN"/>
        </w:rPr>
        <w:t>，</w:t>
      </w:r>
      <w:r>
        <w:rPr>
          <w:color w:val="auto"/>
          <w:highlight w:val="none"/>
        </w:rPr>
        <w:t>夯实产量、品质、抗性等重要</w:t>
      </w:r>
      <w:r>
        <w:rPr>
          <w:rFonts w:hint="eastAsia"/>
          <w:color w:val="auto"/>
          <w:highlight w:val="none"/>
          <w:lang w:val="en-US" w:eastAsia="zh-CN"/>
        </w:rPr>
        <w:t>农业基础研究</w:t>
      </w:r>
      <w:r>
        <w:rPr>
          <w:color w:val="auto"/>
          <w:highlight w:val="none"/>
        </w:rPr>
        <w:t>。强化信息技术和农业技术的结合，推动传统农业向现代智慧农业发展。</w:t>
      </w:r>
    </w:p>
    <w:p>
      <w:pPr>
        <w:pStyle w:val="19"/>
        <w:pageBreakBefore w:val="0"/>
        <w:wordWrap/>
        <w:overflowPunct/>
        <w:autoSpaceDE/>
        <w:autoSpaceDN/>
        <w:bidi w:val="0"/>
        <w:spacing w:line="530" w:lineRule="exact"/>
        <w:rPr>
          <w:rFonts w:hint="eastAsia"/>
          <w:color w:val="auto"/>
          <w:highlight w:val="none"/>
        </w:rPr>
      </w:pPr>
      <w:r>
        <w:rPr>
          <w:rFonts w:hint="eastAsia"/>
          <w:b/>
          <w:bCs/>
          <w:color w:val="auto"/>
          <w:highlight w:val="none"/>
        </w:rPr>
        <w:t>拓展与深化“农业+低空”融合应用场景</w:t>
      </w:r>
      <w:r>
        <w:rPr>
          <w:rFonts w:hint="eastAsia"/>
          <w:b/>
          <w:bCs/>
          <w:color w:val="auto"/>
          <w:highlight w:val="none"/>
          <w:lang w:eastAsia="zh-CN"/>
        </w:rPr>
        <w:t>。</w:t>
      </w:r>
      <w:r>
        <w:rPr>
          <w:rFonts w:hint="eastAsia"/>
          <w:color w:val="auto"/>
          <w:highlight w:val="none"/>
        </w:rPr>
        <w:t>构建低空智慧农服网络体系</w:t>
      </w:r>
      <w:r>
        <w:rPr>
          <w:rFonts w:hint="eastAsia"/>
          <w:color w:val="auto"/>
          <w:highlight w:val="none"/>
          <w:lang w:eastAsia="zh-CN"/>
        </w:rPr>
        <w:t>，</w:t>
      </w:r>
      <w:r>
        <w:rPr>
          <w:rFonts w:hint="eastAsia"/>
          <w:color w:val="auto"/>
          <w:highlight w:val="none"/>
        </w:rPr>
        <w:t>扶持和培育专业化的低空农业服务组织</w:t>
      </w:r>
      <w:r>
        <w:rPr>
          <w:rFonts w:hint="eastAsia"/>
          <w:color w:val="auto"/>
          <w:highlight w:val="none"/>
          <w:lang w:eastAsia="zh-CN"/>
        </w:rPr>
        <w:t>，</w:t>
      </w:r>
      <w:r>
        <w:rPr>
          <w:rFonts w:hint="eastAsia"/>
          <w:color w:val="auto"/>
          <w:highlight w:val="none"/>
        </w:rPr>
        <w:t>为全区提供集植保、播种、施肥、遥感监测于一体的服务。开展城市农业物流</w:t>
      </w:r>
      <w:r>
        <w:rPr>
          <w:rFonts w:hint="eastAsia"/>
          <w:color w:val="auto"/>
          <w:highlight w:val="none"/>
          <w:lang w:eastAsia="zh-CN"/>
        </w:rPr>
        <w:t>，</w:t>
      </w:r>
      <w:r>
        <w:rPr>
          <w:rFonts w:hint="eastAsia"/>
          <w:color w:val="auto"/>
          <w:highlight w:val="none"/>
        </w:rPr>
        <w:t>利用无人机和未来可能的电动垂直起降飞行器（eVTOL），开辟从近郊生产基地到核心城区消费点的“低空绿色通道”，实现超高附加值农产品的分钟级直达配送，打造绿园鲜品的极速达品牌。</w:t>
      </w:r>
    </w:p>
    <w:p>
      <w:pPr>
        <w:pStyle w:val="19"/>
        <w:pageBreakBefore w:val="0"/>
        <w:wordWrap/>
        <w:overflowPunct/>
        <w:autoSpaceDE/>
        <w:autoSpaceDN/>
        <w:bidi w:val="0"/>
        <w:spacing w:line="530" w:lineRule="exact"/>
        <w:rPr>
          <w:b/>
          <w:bCs/>
          <w:color w:val="auto"/>
          <w:highlight w:val="none"/>
        </w:rPr>
      </w:pPr>
      <w:r>
        <w:rPr>
          <w:rFonts w:hint="eastAsia"/>
          <w:b/>
          <w:bCs/>
          <w:color w:val="auto"/>
          <w:highlight w:val="none"/>
        </w:rPr>
        <w:t>全面建设“诚信农业”体系</w:t>
      </w:r>
      <w:r>
        <w:rPr>
          <w:rFonts w:hint="eastAsia"/>
          <w:b/>
          <w:bCs/>
          <w:color w:val="auto"/>
          <w:highlight w:val="none"/>
          <w:lang w:eastAsia="zh-CN"/>
        </w:rPr>
        <w:t>。</w:t>
      </w:r>
      <w:r>
        <w:rPr>
          <w:rFonts w:hint="eastAsia"/>
          <w:color w:val="auto"/>
          <w:highlight w:val="none"/>
        </w:rPr>
        <w:t>打造全区统一的“诚信农业”数字身份与追溯平台</w:t>
      </w:r>
      <w:r>
        <w:rPr>
          <w:rFonts w:hint="eastAsia"/>
          <w:color w:val="auto"/>
          <w:highlight w:val="none"/>
          <w:lang w:eastAsia="zh-CN"/>
        </w:rPr>
        <w:t>，</w:t>
      </w:r>
      <w:r>
        <w:rPr>
          <w:rFonts w:hint="eastAsia"/>
          <w:color w:val="auto"/>
          <w:highlight w:val="none"/>
        </w:rPr>
        <w:t>为区内主要农业经营主体及其产品建立唯一的“数字身份证”</w:t>
      </w:r>
      <w:r>
        <w:rPr>
          <w:rFonts w:hint="eastAsia"/>
          <w:color w:val="auto"/>
          <w:highlight w:val="none"/>
          <w:lang w:eastAsia="zh-CN"/>
        </w:rPr>
        <w:t>，</w:t>
      </w:r>
      <w:r>
        <w:rPr>
          <w:rFonts w:hint="eastAsia"/>
          <w:color w:val="auto"/>
          <w:highlight w:val="none"/>
        </w:rPr>
        <w:t>记录从种子、农药化肥使用、生产环境、加工包装到运输销售的全链条可信信息</w:t>
      </w:r>
      <w:r>
        <w:rPr>
          <w:rFonts w:hint="eastAsia"/>
          <w:color w:val="auto"/>
          <w:highlight w:val="none"/>
          <w:lang w:eastAsia="zh-CN"/>
        </w:rPr>
        <w:t>，</w:t>
      </w:r>
      <w:r>
        <w:rPr>
          <w:rFonts w:hint="eastAsia"/>
          <w:color w:val="auto"/>
          <w:highlight w:val="none"/>
        </w:rPr>
        <w:t>推行“绿色承诺”标准化生产</w:t>
      </w:r>
      <w:r>
        <w:rPr>
          <w:rFonts w:hint="eastAsia"/>
          <w:color w:val="auto"/>
          <w:highlight w:val="none"/>
          <w:lang w:eastAsia="zh-CN"/>
        </w:rPr>
        <w:t>，</w:t>
      </w:r>
      <w:r>
        <w:rPr>
          <w:rFonts w:hint="eastAsia"/>
          <w:color w:val="auto"/>
          <w:highlight w:val="none"/>
        </w:rPr>
        <w:t>并转化为产品的核心卖点。</w:t>
      </w:r>
    </w:p>
    <w:p>
      <w:pPr>
        <w:pStyle w:val="19"/>
        <w:pageBreakBefore w:val="0"/>
        <w:wordWrap/>
        <w:overflowPunct/>
        <w:autoSpaceDE/>
        <w:autoSpaceDN/>
        <w:bidi w:val="0"/>
        <w:spacing w:line="530" w:lineRule="exact"/>
        <w:rPr>
          <w:rFonts w:hint="eastAsia"/>
          <w:color w:val="auto"/>
          <w:highlight w:val="none"/>
        </w:rPr>
      </w:pPr>
      <w:r>
        <w:rPr>
          <w:b/>
          <w:bCs/>
          <w:color w:val="auto"/>
          <w:highlight w:val="none"/>
        </w:rPr>
        <w:t>推动</w:t>
      </w:r>
      <w:r>
        <w:rPr>
          <w:rFonts w:hint="eastAsia"/>
          <w:b/>
          <w:bCs/>
          <w:color w:val="auto"/>
          <w:highlight w:val="none"/>
          <w:lang w:val="en-US" w:eastAsia="zh-CN"/>
        </w:rPr>
        <w:t>耕作技术及</w:t>
      </w:r>
      <w:r>
        <w:rPr>
          <w:b/>
          <w:bCs/>
          <w:color w:val="auto"/>
          <w:highlight w:val="none"/>
        </w:rPr>
        <w:t>农机装备向高质量发展转型。</w:t>
      </w:r>
      <w:r>
        <w:rPr>
          <w:color w:val="auto"/>
          <w:highlight w:val="none"/>
        </w:rPr>
        <w:t>强化技术培训，通过培训班、田间学校等形式，向农民普及保护性耕作技术的原理和操作方法，提升技术应用能力。鼓励农技推广机构与农业科研教学机构、社会化服务组织等联合开展黑土地保护和技术推广，加快先进技术成果转化和新型农机装备应用，提升黑土地保护工作成效。</w:t>
      </w:r>
    </w:p>
    <w:p>
      <w:pPr>
        <w:pStyle w:val="3"/>
        <w:pageBreakBefore w:val="0"/>
        <w:wordWrap/>
        <w:overflowPunct/>
        <w:autoSpaceDE/>
        <w:autoSpaceDN/>
        <w:bidi w:val="0"/>
        <w:spacing w:line="530" w:lineRule="exact"/>
        <w:rPr>
          <w:rFonts w:hint="eastAsia"/>
          <w:color w:val="auto"/>
          <w:highlight w:val="none"/>
        </w:rPr>
      </w:pPr>
      <w:bookmarkStart w:id="415" w:name="_Toc33835615"/>
      <w:bookmarkStart w:id="416" w:name="_Toc341692086"/>
      <w:bookmarkStart w:id="417" w:name="_Toc1987745771"/>
      <w:bookmarkStart w:id="418" w:name="_Toc579629477"/>
      <w:bookmarkStart w:id="419" w:name="_Toc2138918923"/>
      <w:bookmarkStart w:id="420" w:name="_Toc831113594"/>
      <w:bookmarkStart w:id="421" w:name="_Toc147887419"/>
      <w:bookmarkStart w:id="422" w:name="_Toc194091698"/>
      <w:r>
        <w:rPr>
          <w:rFonts w:hint="eastAsia"/>
          <w:color w:val="auto"/>
          <w:highlight w:val="none"/>
        </w:rPr>
        <w:t>实施宜居宜业和美乡村建设</w:t>
      </w:r>
      <w:bookmarkEnd w:id="415"/>
      <w:bookmarkEnd w:id="416"/>
      <w:bookmarkEnd w:id="417"/>
      <w:bookmarkEnd w:id="418"/>
      <w:bookmarkEnd w:id="419"/>
      <w:bookmarkEnd w:id="420"/>
      <w:bookmarkEnd w:id="421"/>
      <w:bookmarkEnd w:id="422"/>
    </w:p>
    <w:p>
      <w:pPr>
        <w:pStyle w:val="4"/>
        <w:pageBreakBefore w:val="0"/>
        <w:wordWrap/>
        <w:overflowPunct/>
        <w:autoSpaceDE/>
        <w:autoSpaceDN/>
        <w:bidi w:val="0"/>
        <w:spacing w:line="530" w:lineRule="exact"/>
        <w:rPr>
          <w:color w:val="auto"/>
          <w:highlight w:val="none"/>
        </w:rPr>
      </w:pPr>
      <w:bookmarkStart w:id="423" w:name="_Toc1292534270"/>
      <w:bookmarkStart w:id="424" w:name="_Toc2081571728"/>
      <w:bookmarkStart w:id="425" w:name="_Toc846797147"/>
      <w:bookmarkStart w:id="426" w:name="_Toc447617324"/>
      <w:r>
        <w:rPr>
          <w:color w:val="auto"/>
          <w:highlight w:val="none"/>
        </w:rPr>
        <w:t>提升村庄规划建设水平</w:t>
      </w:r>
      <w:bookmarkEnd w:id="423"/>
      <w:bookmarkEnd w:id="424"/>
      <w:bookmarkEnd w:id="425"/>
      <w:bookmarkEnd w:id="426"/>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统筹村庄科学布局。</w:t>
      </w:r>
      <w:r>
        <w:rPr>
          <w:color w:val="auto"/>
          <w:highlight w:val="none"/>
        </w:rPr>
        <w:t>按照城郊融合、集聚提升、搬迁撤并等类型，进行分类指引，科学安排村庄空间布局。按照农村居民点布局和建设用地管控要求，合理确定宅基地规模，划定宅基地建设范围，严格落实“一户一宅”。</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统筹村庄等级规模体系。</w:t>
      </w:r>
      <w:r>
        <w:rPr>
          <w:color w:val="auto"/>
          <w:highlight w:val="none"/>
        </w:rPr>
        <w:t>形成中心村</w:t>
      </w:r>
      <w:r>
        <w:rPr>
          <w:rFonts w:hint="eastAsia"/>
          <w:color w:val="auto"/>
          <w:highlight w:val="none"/>
          <w:lang w:eastAsia="zh-CN"/>
        </w:rPr>
        <w:t>、</w:t>
      </w:r>
      <w:r>
        <w:rPr>
          <w:color w:val="auto"/>
          <w:highlight w:val="none"/>
        </w:rPr>
        <w:t>一般村两级体系。其中，中心村</w:t>
      </w:r>
      <w:r>
        <w:rPr>
          <w:rFonts w:ascii="Times New Roman" w:hAnsi="Times New Roman"/>
          <w:b w:val="0"/>
          <w:i w:val="0"/>
          <w:color w:val="auto"/>
          <w:highlight w:val="none"/>
        </w:rPr>
        <w:t>6</w:t>
      </w:r>
      <w:r>
        <w:rPr>
          <w:color w:val="auto"/>
          <w:highlight w:val="none"/>
        </w:rPr>
        <w:t>个，包括新农家村、哈达村、永跃村、于家村、岳家村、红民村。一般村</w:t>
      </w:r>
      <w:r>
        <w:rPr>
          <w:rFonts w:ascii="Times New Roman" w:hAnsi="Times New Roman"/>
          <w:b w:val="0"/>
          <w:i w:val="0"/>
          <w:color w:val="auto"/>
          <w:highlight w:val="none"/>
        </w:rPr>
        <w:t>9</w:t>
      </w:r>
      <w:r>
        <w:rPr>
          <w:color w:val="auto"/>
          <w:highlight w:val="none"/>
        </w:rPr>
        <w:t>个，包括东安村、四间村、大营子村、跃进村、三间村、新立村、开元村、民丰村、双龙村。</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统筹村庄职能体系。</w:t>
      </w:r>
      <w:r>
        <w:rPr>
          <w:color w:val="auto"/>
          <w:highlight w:val="none"/>
        </w:rPr>
        <w:t>中心村和一般村为集聚提升类村庄，职能以农业为主，兼具休闲、文化、旅游等职能。其中，新农家村大力发展设施农业，开展美丽乡村建设，</w:t>
      </w:r>
      <w:r>
        <w:rPr>
          <w:rFonts w:hint="eastAsia"/>
          <w:color w:val="auto"/>
          <w:highlight w:val="none"/>
          <w:lang w:val="en-US" w:eastAsia="zh-CN"/>
        </w:rPr>
        <w:t>谋划</w:t>
      </w:r>
      <w:r>
        <w:rPr>
          <w:color w:val="auto"/>
          <w:highlight w:val="none"/>
        </w:rPr>
        <w:t>打造农民职业教育培训基地、甜瓜基地</w:t>
      </w:r>
      <w:r>
        <w:rPr>
          <w:rFonts w:hint="eastAsia"/>
          <w:color w:val="auto"/>
          <w:highlight w:val="none"/>
          <w:lang w:eastAsia="zh-CN"/>
        </w:rPr>
        <w:t>、</w:t>
      </w:r>
      <w:r>
        <w:rPr>
          <w:rFonts w:hint="eastAsia"/>
          <w:color w:val="auto"/>
          <w:highlight w:val="none"/>
          <w:lang w:val="en-US" w:eastAsia="zh-CN"/>
        </w:rPr>
        <w:t>蔬菜基地</w:t>
      </w:r>
      <w:r>
        <w:rPr>
          <w:color w:val="auto"/>
          <w:highlight w:val="none"/>
        </w:rPr>
        <w:t>；哈达村打造蔬菜基地；永跃村建设禅修康养基地；于家村打造金色稻田观光养生基地；</w:t>
      </w:r>
      <w:r>
        <w:rPr>
          <w:rFonts w:hint="eastAsia"/>
          <w:color w:val="auto"/>
          <w:highlight w:val="none"/>
          <w:lang w:val="en-US" w:eastAsia="zh-CN"/>
        </w:rPr>
        <w:t>红民村打造航展特色村，同时发展</w:t>
      </w:r>
      <w:r>
        <w:rPr>
          <w:color w:val="auto"/>
          <w:highlight w:val="none"/>
        </w:rPr>
        <w:t>岳家小菜、葡萄基地、花卉培育基地</w:t>
      </w:r>
      <w:r>
        <w:rPr>
          <w:rFonts w:hint="eastAsia"/>
          <w:color w:val="auto"/>
          <w:highlight w:val="none"/>
          <w:lang w:val="en-US" w:eastAsia="zh-CN"/>
        </w:rPr>
        <w:t>等种植业</w:t>
      </w:r>
      <w:r>
        <w:rPr>
          <w:color w:val="auto"/>
          <w:highlight w:val="none"/>
        </w:rPr>
        <w:t>；东安村以科创农业为核心，结合东侧建筑学院，面向学生群体发展具有文化特色的休闲、餐饮、教育基地、智慧蔬菜基地等产业；裴家村为现代都市农业区。其余村庄为农业发展村庄。</w:t>
      </w:r>
    </w:p>
    <w:p>
      <w:pPr>
        <w:pStyle w:val="4"/>
        <w:pageBreakBefore w:val="0"/>
        <w:wordWrap/>
        <w:overflowPunct/>
        <w:autoSpaceDE/>
        <w:autoSpaceDN/>
        <w:bidi w:val="0"/>
        <w:spacing w:line="530" w:lineRule="exact"/>
        <w:rPr>
          <w:color w:val="auto"/>
          <w:highlight w:val="none"/>
        </w:rPr>
      </w:pPr>
      <w:bookmarkStart w:id="427" w:name="_Toc1826386485"/>
      <w:bookmarkStart w:id="428" w:name="_Toc469149027"/>
      <w:bookmarkStart w:id="429" w:name="_Toc319939219"/>
      <w:bookmarkStart w:id="430" w:name="_Toc745520960"/>
      <w:r>
        <w:rPr>
          <w:color w:val="auto"/>
          <w:highlight w:val="none"/>
        </w:rPr>
        <w:t>提升乡村宜居水平</w:t>
      </w:r>
      <w:bookmarkEnd w:id="427"/>
      <w:bookmarkEnd w:id="428"/>
      <w:bookmarkEnd w:id="429"/>
      <w:bookmarkEnd w:id="430"/>
    </w:p>
    <w:p>
      <w:pPr>
        <w:pStyle w:val="19"/>
        <w:pageBreakBefore w:val="0"/>
        <w:wordWrap/>
        <w:overflowPunct/>
        <w:autoSpaceDE/>
        <w:autoSpaceDN/>
        <w:bidi w:val="0"/>
        <w:spacing w:line="530" w:lineRule="exact"/>
        <w:ind w:firstLine="643"/>
        <w:rPr>
          <w:rFonts w:hint="default"/>
          <w:b/>
          <w:bCs/>
          <w:color w:val="auto"/>
          <w:highlight w:val="none"/>
        </w:rPr>
      </w:pPr>
      <w:r>
        <w:rPr>
          <w:b/>
          <w:bCs/>
          <w:color w:val="auto"/>
          <w:highlight w:val="none"/>
        </w:rPr>
        <w:t>加大给水排水设施供给。</w:t>
      </w:r>
      <w:r>
        <w:rPr>
          <w:color w:val="auto"/>
          <w:highlight w:val="none"/>
        </w:rPr>
        <w:t>提升供水安全，村庄给水管网与城市管网布局相结合，统一规划，分期逐步实施。新建城市给水主干线，沿村庄主要道路新敷设村庄给水主干线。完善排水系统，排水体制采用分流制，逐步建立排水系统，村庄污水处理率达到</w:t>
      </w:r>
      <w:r>
        <w:rPr>
          <w:rFonts w:ascii="Times New Roman" w:hAnsi="Times New Roman"/>
          <w:b w:val="0"/>
          <w:i w:val="0"/>
          <w:color w:val="auto"/>
          <w:highlight w:val="none"/>
        </w:rPr>
        <w:t>60</w:t>
      </w:r>
      <w:r>
        <w:rPr>
          <w:color w:val="auto"/>
          <w:highlight w:val="none"/>
        </w:rPr>
        <w:t>%；至</w:t>
      </w:r>
      <w:r>
        <w:rPr>
          <w:rFonts w:ascii="Times New Roman" w:hAnsi="Times New Roman"/>
          <w:b w:val="0"/>
          <w:i w:val="0"/>
          <w:color w:val="auto"/>
          <w:highlight w:val="none"/>
        </w:rPr>
        <w:t>2030</w:t>
      </w:r>
      <w:r>
        <w:rPr>
          <w:color w:val="auto"/>
          <w:highlight w:val="none"/>
        </w:rPr>
        <w:t>年，地表水环境质量全部达到水功能区目标要求，建立完善的排水系统，村庄污水处理率达到</w:t>
      </w:r>
      <w:r>
        <w:rPr>
          <w:rFonts w:ascii="Times New Roman" w:hAnsi="Times New Roman"/>
          <w:b w:val="0"/>
          <w:i w:val="0"/>
          <w:color w:val="auto"/>
          <w:highlight w:val="none"/>
        </w:rPr>
        <w:t>100</w:t>
      </w:r>
      <w:r>
        <w:rPr>
          <w:color w:val="auto"/>
          <w:highlight w:val="none"/>
        </w:rPr>
        <w:t>%。</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加快提升村容村貌。</w:t>
      </w:r>
      <w:r>
        <w:rPr>
          <w:color w:val="auto"/>
          <w:highlight w:val="none"/>
        </w:rPr>
        <w:t>整体风貌定位为“四水拥三镇，田园半入城”。以新凯河、三间河、双龙河、西新河为脉，环抱三镇镇区，以楔形绿地引田园风光入城市中心区。整体打造滨河生态风貌区、城乡融合风貌区、田园风光风貌区三大风貌片区。</w:t>
      </w:r>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持续深化公共服务设施供给。</w:t>
      </w:r>
      <w:r>
        <w:rPr>
          <w:rFonts w:hint="eastAsia"/>
          <w:color w:val="auto"/>
          <w:highlight w:val="none"/>
        </w:rPr>
        <w:t>优化乡村公共服务资源配置，构建与村庄体系及规划居民点相适应的服务网络，建立中心村</w:t>
      </w:r>
      <w:r>
        <w:rPr>
          <w:rFonts w:hint="eastAsia"/>
          <w:color w:val="auto"/>
          <w:highlight w:val="none"/>
          <w:lang w:eastAsia="zh-CN"/>
        </w:rPr>
        <w:t>、</w:t>
      </w:r>
      <w:r>
        <w:rPr>
          <w:rFonts w:hint="eastAsia"/>
          <w:color w:val="auto"/>
          <w:highlight w:val="none"/>
        </w:rPr>
        <w:t>一般村两级公共服务体系，部分设施</w:t>
      </w:r>
      <w:r>
        <w:rPr>
          <w:rFonts w:hint="eastAsia"/>
          <w:color w:val="auto"/>
          <w:highlight w:val="none"/>
          <w:lang w:val="en-US" w:eastAsia="zh-CN"/>
        </w:rPr>
        <w:t>实现与</w:t>
      </w:r>
      <w:r>
        <w:rPr>
          <w:rFonts w:hint="eastAsia"/>
          <w:color w:val="auto"/>
          <w:highlight w:val="none"/>
        </w:rPr>
        <w:t>城共享。一般村重点保障日常基础服务，主要配置小型文体活动设施及便民商业设施，以满足本自然村基本生活需求。中心村进一步强化与规模效应相匹配的公共服务供给，集中配置医疗卫生、教育、商业等综合性服务设施，提升区域服务辐射能力。通过分级配置、功能互补，形成层次清晰、覆盖有效、协同联动的乡村公共服务设施体系。</w:t>
      </w:r>
    </w:p>
    <w:p>
      <w:pPr>
        <w:pStyle w:val="4"/>
        <w:pageBreakBefore w:val="0"/>
        <w:wordWrap/>
        <w:overflowPunct/>
        <w:autoSpaceDE/>
        <w:autoSpaceDN/>
        <w:bidi w:val="0"/>
        <w:spacing w:line="530" w:lineRule="exact"/>
        <w:rPr>
          <w:color w:val="auto"/>
          <w:highlight w:val="none"/>
        </w:rPr>
      </w:pPr>
      <w:bookmarkStart w:id="431" w:name="_Toc1575228652"/>
      <w:bookmarkStart w:id="432" w:name="_Toc1551178122"/>
      <w:bookmarkStart w:id="433" w:name="_Toc2093886824"/>
      <w:bookmarkStart w:id="434" w:name="_Toc2066885292"/>
      <w:r>
        <w:rPr>
          <w:color w:val="auto"/>
          <w:highlight w:val="none"/>
        </w:rPr>
        <w:t>提升乡村治理水平</w:t>
      </w:r>
      <w:bookmarkEnd w:id="431"/>
      <w:bookmarkEnd w:id="432"/>
      <w:bookmarkEnd w:id="433"/>
      <w:bookmarkEnd w:id="434"/>
    </w:p>
    <w:p>
      <w:pPr>
        <w:pStyle w:val="19"/>
        <w:pageBreakBefore w:val="0"/>
        <w:wordWrap/>
        <w:overflowPunct/>
        <w:autoSpaceDE/>
        <w:autoSpaceDN/>
        <w:bidi w:val="0"/>
        <w:spacing w:line="530" w:lineRule="exact"/>
        <w:ind w:firstLine="643"/>
        <w:rPr>
          <w:rFonts w:hint="default"/>
          <w:color w:val="auto"/>
          <w:highlight w:val="none"/>
        </w:rPr>
      </w:pPr>
      <w:r>
        <w:rPr>
          <w:b/>
          <w:bCs/>
          <w:color w:val="auto"/>
          <w:highlight w:val="none"/>
        </w:rPr>
        <w:t>强化基层党组织建设，发挥党建引领作用。</w:t>
      </w:r>
      <w:r>
        <w:rPr>
          <w:color w:val="auto"/>
          <w:highlight w:val="none"/>
        </w:rPr>
        <w:t>坚持把政治标准放在首位，选优配强村党组织班子，村党组织书记要突出懂农业、爱农村、爱农民，有较强带领推进乡村全面振兴，扎实推动农村共同富裕的能力素质，注重从本村致富能手、外出务工经商返乡人员、本乡本土大学毕业生、社会工作专业人员、退役军人、基层治理专干等人员中选拔村班子成员，提升班子战斗力。常态化开展软弱涣散村党组织排查整顿工作，规范执行“三会一课”、主题党日等制度机制。</w:t>
      </w:r>
    </w:p>
    <w:p>
      <w:pPr>
        <w:pStyle w:val="19"/>
        <w:pageBreakBefore w:val="0"/>
        <w:wordWrap/>
        <w:overflowPunct/>
        <w:autoSpaceDE/>
        <w:autoSpaceDN/>
        <w:bidi w:val="0"/>
        <w:spacing w:line="530" w:lineRule="exact"/>
        <w:rPr>
          <w:color w:val="auto"/>
          <w:highlight w:val="none"/>
        </w:rPr>
      </w:pPr>
      <w:r>
        <w:rPr>
          <w:b/>
          <w:bCs/>
          <w:color w:val="auto"/>
          <w:highlight w:val="none"/>
        </w:rPr>
        <w:t>完善村民自治机制，激发内生动力。</w:t>
      </w:r>
      <w:r>
        <w:rPr>
          <w:color w:val="auto"/>
          <w:highlight w:val="none"/>
        </w:rPr>
        <w:t>深化落实“四议两公开”，对村级重大事项严格履行党支部提议、村“两委”商议、党员大会审议、村民代表会议决议，决议和实施结果公开，保障村民知情权、参与权。升级村规民约，结合移风易俗、环境治理等新要求，修订村规民约，</w:t>
      </w:r>
      <w:r>
        <w:rPr>
          <w:rFonts w:hint="eastAsia"/>
          <w:color w:val="auto"/>
          <w:highlight w:val="none"/>
        </w:rPr>
        <w:t>完善积分制载体</w:t>
      </w:r>
      <w:r>
        <w:rPr>
          <w:color w:val="auto"/>
          <w:highlight w:val="none"/>
        </w:rPr>
        <w:t>，引导村民自我管理。拓宽村民议事线上线下渠道，畅通村民参与治理的途径。</w:t>
      </w:r>
    </w:p>
    <w:tbl>
      <w:tblPr>
        <w:tblStyle w:val="2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shd w:val="clear" w:color="auto" w:fill="E7E6E6" w:themeFill="background2"/>
          </w:tcPr>
          <w:p>
            <w:pPr>
              <w:pStyle w:val="20"/>
              <w:keepNext w:val="0"/>
              <w:keepLines w:val="0"/>
              <w:pageBreakBefore w:val="0"/>
              <w:widowControl w:val="0"/>
              <w:wordWrap/>
              <w:overflowPunct/>
              <w:topLinePunct w:val="0"/>
              <w:autoSpaceDE/>
              <w:autoSpaceDN/>
              <w:bidi w:val="0"/>
              <w:spacing w:line="260" w:lineRule="exact"/>
              <w:rPr>
                <w:color w:val="auto"/>
                <w:highlight w:val="none"/>
              </w:rPr>
            </w:pPr>
            <w:r>
              <w:rPr>
                <w:color w:val="auto"/>
                <w:highlight w:val="none"/>
              </w:rPr>
              <w:t>专栏</w:t>
            </w:r>
            <w:r>
              <w:rPr>
                <w:rFonts w:hint="eastAsia"/>
                <w:color w:val="auto"/>
                <w:highlight w:val="none"/>
                <w:lang w:val="en-US" w:eastAsia="zh-CN"/>
              </w:rPr>
              <w:t>6</w:t>
            </w:r>
            <w:r>
              <w:rPr>
                <w:color w:val="auto"/>
                <w:highlight w:val="none"/>
              </w:rPr>
              <w:t>打造农业农村现代化建设重点项目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4" w:type="dxa"/>
          </w:tcPr>
          <w:p>
            <w:pPr>
              <w:pStyle w:val="22"/>
              <w:keepNext w:val="0"/>
              <w:keepLines w:val="0"/>
              <w:pageBreakBefore w:val="0"/>
              <w:widowControl w:val="0"/>
              <w:wordWrap/>
              <w:overflowPunct/>
              <w:topLinePunct w:val="0"/>
              <w:autoSpaceDE/>
              <w:autoSpaceDN/>
              <w:bidi w:val="0"/>
              <w:spacing w:line="260" w:lineRule="exact"/>
              <w:rPr>
                <w:color w:val="auto"/>
                <w:highlight w:val="none"/>
              </w:rPr>
            </w:pPr>
            <w:r>
              <w:rPr>
                <w:rFonts w:hint="eastAsia" w:ascii="Times New Roman" w:hAnsi="Times New Roman"/>
                <w:b w:val="0"/>
                <w:i w:val="0"/>
                <w:color w:val="auto"/>
                <w:highlight w:val="none"/>
                <w:lang w:val="en-US" w:eastAsia="zh-CN"/>
              </w:rPr>
              <w:t>1</w:t>
            </w:r>
            <w:r>
              <w:rPr>
                <w:b/>
                <w:bCs/>
                <w:color w:val="auto"/>
                <w:highlight w:val="none"/>
              </w:rPr>
              <w:t>.</w:t>
            </w:r>
            <w:r>
              <w:rPr>
                <w:color w:val="auto"/>
                <w:highlight w:val="none"/>
              </w:rPr>
              <w:t>村容村貌整体提升工程</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风貌定位与管控：围绕</w:t>
            </w:r>
            <w:r>
              <w:rPr>
                <w:rFonts w:hint="eastAsia" w:ascii="仿宋_GB2312" w:hAnsi="Times New Roman"/>
                <w:color w:val="auto"/>
                <w:highlight w:val="none"/>
                <w:lang w:bidi="ar"/>
              </w:rPr>
              <w:t>“</w:t>
            </w:r>
            <w:r>
              <w:rPr>
                <w:rFonts w:ascii="Times New Roman" w:hAnsi="Times New Roman"/>
                <w:color w:val="auto"/>
                <w:highlight w:val="none"/>
                <w:lang w:bidi="ar"/>
              </w:rPr>
              <w:t>四水拥三镇，田园半入城</w:t>
            </w:r>
            <w:r>
              <w:rPr>
                <w:rFonts w:hint="eastAsia" w:ascii="楷体_GB2312" w:hAnsi="楷体_GB2312" w:eastAsia="楷体_GB2312" w:cs="楷体_GB2312"/>
                <w:color w:val="auto"/>
                <w:highlight w:val="none"/>
                <w:lang w:bidi="ar"/>
              </w:rPr>
              <w:t>”</w:t>
            </w:r>
            <w:r>
              <w:rPr>
                <w:rFonts w:ascii="Times New Roman" w:hAnsi="Times New Roman"/>
                <w:color w:val="auto"/>
                <w:highlight w:val="none"/>
                <w:lang w:bidi="ar"/>
              </w:rPr>
              <w:t>主题，对滨河生态、城乡融合、田园风光三大片区进行风貌引导。</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基础设施补短板：实施供水管网、污水收集处理设施建设，完善户集、村收、镇运、区处理的垃圾治理体系。</w:t>
            </w:r>
          </w:p>
          <w:p>
            <w:pPr>
              <w:pStyle w:val="23"/>
              <w:keepNext w:val="0"/>
              <w:keepLines w:val="0"/>
              <w:pageBreakBefore w:val="0"/>
              <w:widowControl w:val="0"/>
              <w:wordWrap/>
              <w:overflowPunct/>
              <w:topLinePunct w:val="0"/>
              <w:autoSpaceDE/>
              <w:autoSpaceDN/>
              <w:bidi w:val="0"/>
              <w:spacing w:line="260" w:lineRule="exact"/>
              <w:rPr>
                <w:color w:val="auto"/>
                <w:highlight w:val="none"/>
              </w:rPr>
            </w:pPr>
            <w:r>
              <w:rPr>
                <w:color w:val="auto"/>
                <w:highlight w:val="none"/>
              </w:rPr>
              <w:t>中心村公共服务提升：在中心村增强医疗、教育、商业等设施配置，形成区域服务核心。</w:t>
            </w:r>
          </w:p>
          <w:p>
            <w:pPr>
              <w:pStyle w:val="22"/>
              <w:keepNext w:val="0"/>
              <w:keepLines w:val="0"/>
              <w:pageBreakBefore w:val="0"/>
              <w:widowControl w:val="0"/>
              <w:wordWrap/>
              <w:overflowPunct/>
              <w:topLinePunct w:val="0"/>
              <w:autoSpaceDE/>
              <w:autoSpaceDN/>
              <w:bidi w:val="0"/>
              <w:spacing w:line="260" w:lineRule="exact"/>
              <w:rPr>
                <w:color w:val="auto"/>
                <w:highlight w:val="none"/>
              </w:rPr>
            </w:pPr>
            <w:r>
              <w:rPr>
                <w:rFonts w:hint="eastAsia" w:ascii="Times New Roman" w:hAnsi="Times New Roman"/>
                <w:b w:val="0"/>
                <w:i w:val="0"/>
                <w:color w:val="auto"/>
                <w:highlight w:val="none"/>
                <w:lang w:val="en-US" w:eastAsia="zh-CN" w:bidi="ar"/>
              </w:rPr>
              <w:t>2</w:t>
            </w:r>
            <w:r>
              <w:rPr>
                <w:rFonts w:hint="eastAsia"/>
                <w:b/>
                <w:bCs w:val="0"/>
                <w:i w:val="0"/>
                <w:color w:val="auto"/>
                <w:highlight w:val="none"/>
                <w:lang w:val="en-US" w:eastAsia="zh-CN" w:bidi="ar"/>
              </w:rPr>
              <w:t>.</w:t>
            </w:r>
            <w:r>
              <w:rPr>
                <w:rFonts w:hint="eastAsia" w:ascii="仿宋_GB2312"/>
                <w:color w:val="auto"/>
                <w:highlight w:val="none"/>
                <w:lang w:bidi="ar"/>
              </w:rPr>
              <w:t>“</w:t>
            </w:r>
            <w:r>
              <w:rPr>
                <w:color w:val="auto"/>
                <w:highlight w:val="none"/>
                <w:lang w:bidi="ar"/>
              </w:rPr>
              <w:t>一村一品</w:t>
            </w:r>
            <w:r>
              <w:rPr>
                <w:rFonts w:hint="eastAsia" w:ascii="楷体_GB2312" w:hAnsi="楷体_GB2312" w:cs="楷体_GB2312"/>
                <w:color w:val="auto"/>
                <w:highlight w:val="none"/>
                <w:lang w:bidi="ar"/>
              </w:rPr>
              <w:t>”</w:t>
            </w:r>
            <w:r>
              <w:rPr>
                <w:color w:val="auto"/>
                <w:highlight w:val="none"/>
                <w:lang w:bidi="ar"/>
              </w:rPr>
              <w:t>特色乡村休闲旅游带项目</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红民村</w:t>
            </w:r>
            <w:r>
              <w:rPr>
                <w:rFonts w:hint="eastAsia" w:ascii="仿宋_GB2312" w:hAnsi="Times New Roman"/>
                <w:color w:val="auto"/>
                <w:highlight w:val="none"/>
                <w:lang w:bidi="ar"/>
              </w:rPr>
              <w:t>“</w:t>
            </w:r>
            <w:r>
              <w:rPr>
                <w:rFonts w:ascii="Times New Roman" w:hAnsi="Times New Roman"/>
                <w:color w:val="auto"/>
                <w:highlight w:val="none"/>
                <w:lang w:bidi="ar"/>
              </w:rPr>
              <w:t>航空特色村</w:t>
            </w:r>
            <w:r>
              <w:rPr>
                <w:rFonts w:hint="eastAsia" w:ascii="楷体_GB2312" w:hAnsi="楷体_GB2312" w:cs="楷体_GB2312"/>
                <w:color w:val="auto"/>
                <w:highlight w:val="none"/>
                <w:lang w:bidi="ar"/>
              </w:rPr>
              <w:t>”</w:t>
            </w:r>
            <w:r>
              <w:rPr>
                <w:rFonts w:ascii="Times New Roman" w:hAnsi="Times New Roman"/>
                <w:color w:val="auto"/>
                <w:highlight w:val="none"/>
                <w:lang w:bidi="ar"/>
              </w:rPr>
              <w:t>：结合航展，发展航空文化体验、研学教育、民宿餐饮。</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永跃村</w:t>
            </w:r>
            <w:r>
              <w:rPr>
                <w:rFonts w:hint="eastAsia" w:ascii="仿宋_GB2312" w:hAnsi="Times New Roman"/>
                <w:color w:val="auto"/>
                <w:highlight w:val="none"/>
                <w:lang w:bidi="ar"/>
              </w:rPr>
              <w:t>“</w:t>
            </w:r>
            <w:r>
              <w:rPr>
                <w:rFonts w:ascii="Times New Roman" w:hAnsi="Times New Roman"/>
                <w:color w:val="auto"/>
                <w:highlight w:val="none"/>
                <w:lang w:bidi="ar"/>
              </w:rPr>
              <w:t>禅修康养基地</w:t>
            </w:r>
            <w:r>
              <w:rPr>
                <w:rFonts w:hint="eastAsia" w:ascii="楷体_GB2312" w:hAnsi="楷体_GB2312" w:cs="楷体_GB2312"/>
                <w:color w:val="auto"/>
                <w:highlight w:val="none"/>
                <w:lang w:bidi="ar"/>
              </w:rPr>
              <w:t>”</w:t>
            </w:r>
            <w:r>
              <w:rPr>
                <w:rFonts w:ascii="Times New Roman" w:hAnsi="Times New Roman"/>
                <w:color w:val="auto"/>
                <w:highlight w:val="none"/>
                <w:lang w:bidi="ar"/>
              </w:rPr>
              <w:t>：依托良好生态，打造康养民宿、禅意空间。</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于家村</w:t>
            </w:r>
            <w:r>
              <w:rPr>
                <w:rFonts w:hint="eastAsia" w:ascii="仿宋_GB2312" w:hAnsi="Times New Roman"/>
                <w:color w:val="auto"/>
                <w:highlight w:val="none"/>
                <w:lang w:bidi="ar"/>
              </w:rPr>
              <w:t>“</w:t>
            </w:r>
            <w:r>
              <w:rPr>
                <w:rFonts w:ascii="Times New Roman" w:hAnsi="Times New Roman"/>
                <w:color w:val="auto"/>
                <w:highlight w:val="none"/>
                <w:lang w:bidi="ar"/>
              </w:rPr>
              <w:t>金色稻田观光养生基地</w:t>
            </w:r>
            <w:r>
              <w:rPr>
                <w:rFonts w:hint="eastAsia" w:ascii="楷体_GB2312" w:hAnsi="楷体_GB2312" w:cs="楷体_GB2312"/>
                <w:color w:val="auto"/>
                <w:highlight w:val="none"/>
                <w:lang w:bidi="ar"/>
              </w:rPr>
              <w:t>”</w:t>
            </w:r>
            <w:r>
              <w:rPr>
                <w:rFonts w:ascii="Times New Roman" w:hAnsi="Times New Roman"/>
                <w:color w:val="auto"/>
                <w:highlight w:val="none"/>
                <w:lang w:bidi="ar"/>
              </w:rPr>
              <w:t>：发展稻田画、农耕体验、养生餐饮。</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东安村</w:t>
            </w:r>
            <w:r>
              <w:rPr>
                <w:rFonts w:hint="eastAsia" w:ascii="仿宋_GB2312" w:hAnsi="Times New Roman"/>
                <w:color w:val="auto"/>
                <w:highlight w:val="none"/>
                <w:lang w:bidi="ar"/>
              </w:rPr>
              <w:t>“</w:t>
            </w:r>
            <w:r>
              <w:rPr>
                <w:rFonts w:ascii="Times New Roman" w:hAnsi="Times New Roman"/>
                <w:color w:val="auto"/>
                <w:highlight w:val="none"/>
                <w:lang w:bidi="ar"/>
              </w:rPr>
              <w:t>青年文化创意基地</w:t>
            </w:r>
            <w:r>
              <w:rPr>
                <w:rFonts w:hint="eastAsia" w:ascii="楷体_GB2312" w:hAnsi="楷体_GB2312" w:cs="楷体_GB2312"/>
                <w:color w:val="auto"/>
                <w:highlight w:val="none"/>
                <w:lang w:bidi="ar"/>
              </w:rPr>
              <w:t>”</w:t>
            </w:r>
            <w:r>
              <w:rPr>
                <w:rFonts w:ascii="Times New Roman" w:hAnsi="Times New Roman"/>
                <w:color w:val="auto"/>
                <w:highlight w:val="none"/>
                <w:lang w:bidi="ar"/>
              </w:rPr>
              <w:t>：面向学生群体，发展文创、休闲、智慧农业体验。</w:t>
            </w:r>
          </w:p>
          <w:p>
            <w:pPr>
              <w:pStyle w:val="23"/>
              <w:keepNext w:val="0"/>
              <w:keepLines w:val="0"/>
              <w:pageBreakBefore w:val="0"/>
              <w:widowControl w:val="0"/>
              <w:wordWrap/>
              <w:overflowPunct/>
              <w:topLinePunct w:val="0"/>
              <w:autoSpaceDE/>
              <w:autoSpaceDN/>
              <w:bidi w:val="0"/>
              <w:spacing w:line="260" w:lineRule="exact"/>
              <w:rPr>
                <w:color w:val="auto"/>
                <w:highlight w:val="none"/>
              </w:rPr>
            </w:pPr>
            <w:r>
              <w:rPr>
                <w:color w:val="auto"/>
                <w:highlight w:val="none"/>
              </w:rPr>
              <w:t>花卉基地观光带：整合君怡、泓鑫、红丹起等资源，发展花卉观赏、鲜花消费、婚庆摄影等业态。</w:t>
            </w:r>
          </w:p>
          <w:p>
            <w:pPr>
              <w:pStyle w:val="22"/>
              <w:keepNext w:val="0"/>
              <w:keepLines w:val="0"/>
              <w:pageBreakBefore w:val="0"/>
              <w:widowControl w:val="0"/>
              <w:wordWrap/>
              <w:overflowPunct/>
              <w:topLinePunct w:val="0"/>
              <w:autoSpaceDE/>
              <w:autoSpaceDN/>
              <w:bidi w:val="0"/>
              <w:spacing w:line="260" w:lineRule="exact"/>
              <w:rPr>
                <w:color w:val="auto"/>
                <w:highlight w:val="none"/>
              </w:rPr>
            </w:pPr>
            <w:r>
              <w:rPr>
                <w:rFonts w:hint="eastAsia" w:ascii="Times New Roman" w:hAnsi="Times New Roman"/>
                <w:b w:val="0"/>
                <w:i w:val="0"/>
                <w:color w:val="auto"/>
                <w:highlight w:val="none"/>
                <w:lang w:val="en-US" w:eastAsia="zh-CN"/>
              </w:rPr>
              <w:t>3</w:t>
            </w:r>
            <w:r>
              <w:rPr>
                <w:color w:val="auto"/>
                <w:highlight w:val="none"/>
              </w:rPr>
              <w:t>.乡村治理能力现代化项目</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数字乡村平台：推广</w:t>
            </w:r>
            <w:r>
              <w:rPr>
                <w:rFonts w:hint="eastAsia" w:ascii="仿宋_GB2312" w:hAnsi="Times New Roman"/>
                <w:color w:val="auto"/>
                <w:highlight w:val="none"/>
                <w:lang w:bidi="ar"/>
              </w:rPr>
              <w:t>“</w:t>
            </w:r>
            <w:r>
              <w:rPr>
                <w:rFonts w:ascii="Times New Roman" w:hAnsi="Times New Roman"/>
                <w:color w:val="auto"/>
                <w:highlight w:val="none"/>
                <w:lang w:bidi="ar"/>
              </w:rPr>
              <w:t>智慧动监</w:t>
            </w:r>
            <w:r>
              <w:rPr>
                <w:rFonts w:hint="eastAsia" w:ascii="楷体_GB2312" w:hAnsi="楷体_GB2312" w:cs="楷体_GB2312"/>
                <w:color w:val="auto"/>
                <w:highlight w:val="none"/>
                <w:lang w:bidi="ar"/>
              </w:rPr>
              <w:t>”</w:t>
            </w:r>
            <w:r>
              <w:rPr>
                <w:rFonts w:ascii="Times New Roman" w:hAnsi="Times New Roman"/>
                <w:color w:val="auto"/>
                <w:highlight w:val="none"/>
                <w:lang w:bidi="ar"/>
              </w:rPr>
              <w:t>系统，探索村级事务数字化管理，落实</w:t>
            </w:r>
            <w:r>
              <w:rPr>
                <w:rFonts w:hint="eastAsia" w:ascii="仿宋_GB2312" w:hAnsi="Times New Roman"/>
                <w:color w:val="auto"/>
                <w:highlight w:val="none"/>
                <w:lang w:bidi="ar"/>
              </w:rPr>
              <w:t>“</w:t>
            </w:r>
            <w:r>
              <w:rPr>
                <w:rFonts w:ascii="Times New Roman" w:hAnsi="Times New Roman"/>
                <w:color w:val="auto"/>
                <w:highlight w:val="none"/>
                <w:lang w:bidi="ar"/>
              </w:rPr>
              <w:t>四议两公开</w:t>
            </w:r>
            <w:r>
              <w:rPr>
                <w:rFonts w:hint="eastAsia" w:ascii="楷体_GB2312" w:hAnsi="楷体_GB2312" w:cs="楷体_GB2312"/>
                <w:color w:val="auto"/>
                <w:highlight w:val="none"/>
                <w:lang w:bidi="ar"/>
              </w:rPr>
              <w:t>”</w:t>
            </w:r>
            <w:r>
              <w:rPr>
                <w:rFonts w:ascii="Times New Roman" w:hAnsi="Times New Roman"/>
                <w:color w:val="auto"/>
                <w:highlight w:val="none"/>
                <w:lang w:bidi="ar"/>
              </w:rPr>
              <w:t>。</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color w:val="auto"/>
                <w:highlight w:val="none"/>
              </w:rPr>
            </w:pPr>
            <w:r>
              <w:rPr>
                <w:rFonts w:ascii="Times New Roman" w:hAnsi="Times New Roman"/>
                <w:color w:val="auto"/>
                <w:highlight w:val="none"/>
                <w:lang w:bidi="ar"/>
              </w:rPr>
              <w:t>村规民约升级：结合新时代要求，建立</w:t>
            </w:r>
            <w:r>
              <w:rPr>
                <w:rFonts w:hint="eastAsia" w:ascii="仿宋_GB2312" w:hAnsi="Times New Roman"/>
                <w:color w:val="auto"/>
                <w:highlight w:val="none"/>
                <w:lang w:bidi="ar"/>
              </w:rPr>
              <w:t>“</w:t>
            </w:r>
            <w:r>
              <w:rPr>
                <w:rFonts w:ascii="Times New Roman" w:hAnsi="Times New Roman"/>
                <w:color w:val="auto"/>
                <w:highlight w:val="none"/>
                <w:lang w:bidi="ar"/>
              </w:rPr>
              <w:t>红黑榜</w:t>
            </w:r>
            <w:r>
              <w:rPr>
                <w:rFonts w:hint="eastAsia" w:ascii="楷体_GB2312" w:hAnsi="楷体_GB2312" w:cs="楷体_GB2312"/>
                <w:color w:val="auto"/>
                <w:highlight w:val="none"/>
                <w:lang w:bidi="ar"/>
              </w:rPr>
              <w:t>”</w:t>
            </w:r>
            <w:r>
              <w:rPr>
                <w:rFonts w:ascii="Times New Roman" w:hAnsi="Times New Roman"/>
                <w:color w:val="auto"/>
                <w:highlight w:val="none"/>
                <w:lang w:bidi="ar"/>
              </w:rPr>
              <w:t>等机制，引导村民自我管理。</w:t>
            </w:r>
          </w:p>
          <w:p>
            <w:pPr>
              <w:pStyle w:val="22"/>
              <w:keepNext w:val="0"/>
              <w:keepLines w:val="0"/>
              <w:pageBreakBefore w:val="0"/>
              <w:widowControl w:val="0"/>
              <w:wordWrap/>
              <w:overflowPunct/>
              <w:topLinePunct w:val="0"/>
              <w:autoSpaceDE/>
              <w:autoSpaceDN/>
              <w:bidi w:val="0"/>
              <w:spacing w:line="260" w:lineRule="exact"/>
              <w:rPr>
                <w:color w:val="auto"/>
                <w:highlight w:val="none"/>
              </w:rPr>
            </w:pPr>
            <w:r>
              <w:rPr>
                <w:rFonts w:hint="eastAsia" w:ascii="Times New Roman" w:hAnsi="Times New Roman"/>
                <w:b w:val="0"/>
                <w:i w:val="0"/>
                <w:color w:val="auto"/>
                <w:highlight w:val="none"/>
                <w:lang w:val="en-US" w:eastAsia="zh-CN"/>
              </w:rPr>
              <w:t>4</w:t>
            </w:r>
            <w:r>
              <w:rPr>
                <w:color w:val="auto"/>
                <w:highlight w:val="none"/>
              </w:rPr>
              <w:t>.农业面源污染治理与生态循环项目</w:t>
            </w:r>
          </w:p>
          <w:p>
            <w:pPr>
              <w:pStyle w:val="23"/>
              <w:keepNext w:val="0"/>
              <w:keepLines w:val="0"/>
              <w:pageBreakBefore w:val="0"/>
              <w:widowControl w:val="0"/>
              <w:wordWrap/>
              <w:overflowPunct/>
              <w:topLinePunct w:val="0"/>
              <w:autoSpaceDE/>
              <w:autoSpaceDN/>
              <w:bidi w:val="0"/>
              <w:spacing w:line="260" w:lineRule="exact"/>
              <w:rPr>
                <w:color w:val="auto"/>
                <w:highlight w:val="none"/>
              </w:rPr>
            </w:pPr>
            <w:r>
              <w:rPr>
                <w:color w:val="auto"/>
                <w:highlight w:val="none"/>
              </w:rPr>
              <w:t>生态拦截沟渠、湿地建设：在农田下游建设净化设施，减少氮磷流失。</w:t>
            </w:r>
          </w:p>
          <w:p>
            <w:pPr>
              <w:pStyle w:val="23"/>
              <w:keepNext w:val="0"/>
              <w:keepLines w:val="0"/>
              <w:pageBreakBefore w:val="0"/>
              <w:widowControl w:val="0"/>
              <w:wordWrap/>
              <w:overflowPunct/>
              <w:topLinePunct w:val="0"/>
              <w:autoSpaceDE/>
              <w:autoSpaceDN/>
              <w:bidi w:val="0"/>
              <w:spacing w:line="260" w:lineRule="exact"/>
              <w:rPr>
                <w:rFonts w:ascii="Times New Roman" w:hAnsi="Times New Roman" w:eastAsia="仿宋"/>
                <w:snapToGrid w:val="0"/>
                <w:color w:val="auto"/>
                <w:kern w:val="0"/>
                <w:sz w:val="28"/>
                <w:szCs w:val="28"/>
                <w:highlight w:val="none"/>
              </w:rPr>
            </w:pPr>
            <w:r>
              <w:rPr>
                <w:rFonts w:ascii="Times New Roman" w:hAnsi="Times New Roman"/>
                <w:color w:val="auto"/>
                <w:highlight w:val="none"/>
                <w:lang w:bidi="ar"/>
              </w:rPr>
              <w:t>绿色生产基地：全域推广标准化生产，减少农业投入品对环境的污染。</w:t>
            </w:r>
            <w:r>
              <w:rPr>
                <w:rFonts w:ascii="Times New Roman" w:hAnsi="Times New Roman" w:eastAsia="宋体"/>
                <w:color w:val="auto"/>
                <w:highlight w:val="none"/>
                <w:lang w:bidi="ar"/>
              </w:rPr>
              <w:t xml:space="preserve"> </w:t>
            </w:r>
          </w:p>
        </w:tc>
      </w:tr>
    </w:tbl>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435" w:name="_Toc1407293915"/>
      <w:bookmarkStart w:id="436" w:name="_Toc905271554"/>
      <w:bookmarkStart w:id="437" w:name="_Toc1141327579"/>
      <w:bookmarkStart w:id="438" w:name="_Toc16871"/>
      <w:bookmarkStart w:id="439" w:name="_Toc1511444824"/>
      <w:bookmarkStart w:id="440" w:name="_Toc677946099"/>
      <w:bookmarkStart w:id="441" w:name="_Toc232513725"/>
      <w:bookmarkStart w:id="442" w:name="_Toc199221874"/>
      <w:bookmarkStart w:id="443" w:name="_Toc1399883178"/>
      <w:bookmarkStart w:id="444" w:name="_Toc2056352468"/>
      <w:r>
        <w:rPr>
          <w:rFonts w:hint="eastAsia" w:ascii="方正小标宋简体" w:hAnsi="方正小标宋简体" w:eastAsia="方正小标宋简体" w:cs="方正小标宋简体"/>
          <w:color w:val="auto"/>
          <w:highlight w:val="none"/>
        </w:rPr>
        <w:t>筑牢生态文明底色，探索低碳循环发展新路径</w:t>
      </w:r>
      <w:bookmarkEnd w:id="435"/>
      <w:bookmarkEnd w:id="436"/>
      <w:bookmarkEnd w:id="437"/>
      <w:bookmarkEnd w:id="438"/>
      <w:bookmarkEnd w:id="439"/>
      <w:bookmarkEnd w:id="440"/>
      <w:bookmarkEnd w:id="441"/>
      <w:bookmarkEnd w:id="442"/>
      <w:bookmarkEnd w:id="443"/>
      <w:bookmarkEnd w:id="444"/>
    </w:p>
    <w:p>
      <w:pPr>
        <w:pStyle w:val="19"/>
        <w:pageBreakBefore w:val="0"/>
        <w:wordWrap/>
        <w:overflowPunct/>
        <w:autoSpaceDE/>
        <w:autoSpaceDN/>
        <w:bidi w:val="0"/>
        <w:spacing w:line="530" w:lineRule="exact"/>
        <w:rPr>
          <w:rFonts w:hint="default"/>
          <w:color w:val="auto"/>
          <w:highlight w:val="none"/>
        </w:rPr>
      </w:pPr>
      <w:r>
        <w:rPr>
          <w:color w:val="auto"/>
          <w:highlight w:val="none"/>
        </w:rPr>
        <w:t>依托绿园区生态本底，统筹保护与发展，构建全域生态文明新格局。以持续深入打好污染防治攻坚战为重点，强化大气、水体、土壤</w:t>
      </w:r>
      <w:r>
        <w:rPr>
          <w:rFonts w:hint="eastAsia"/>
          <w:color w:val="auto"/>
          <w:highlight w:val="none"/>
          <w:lang w:eastAsia="zh-CN"/>
        </w:rPr>
        <w:t>、</w:t>
      </w:r>
      <w:r>
        <w:rPr>
          <w:rFonts w:hint="eastAsia"/>
          <w:color w:val="auto"/>
          <w:highlight w:val="none"/>
          <w:lang w:val="en-US" w:eastAsia="zh-CN"/>
        </w:rPr>
        <w:t>噪声</w:t>
      </w:r>
      <w:r>
        <w:rPr>
          <w:color w:val="auto"/>
          <w:highlight w:val="none"/>
        </w:rPr>
        <w:t>系统治理</w:t>
      </w:r>
      <w:r>
        <w:rPr>
          <w:rFonts w:hint="eastAsia"/>
          <w:color w:val="auto"/>
          <w:highlight w:val="none"/>
          <w:lang w:eastAsia="zh-CN"/>
        </w:rPr>
        <w:t>，</w:t>
      </w:r>
      <w:r>
        <w:rPr>
          <w:rFonts w:hint="eastAsia"/>
          <w:color w:val="auto"/>
          <w:highlight w:val="none"/>
          <w:lang w:val="en-US" w:eastAsia="zh-CN"/>
        </w:rPr>
        <w:t>推进“无废城市”建设。</w:t>
      </w:r>
      <w:r>
        <w:rPr>
          <w:color w:val="auto"/>
          <w:highlight w:val="none"/>
        </w:rPr>
        <w:t>以生态保护修复为基础，提升生态系统功能。以绿色低碳转型为路径，培育高质量发展新动能</w:t>
      </w:r>
      <w:r>
        <w:rPr>
          <w:rFonts w:hint="eastAsia"/>
          <w:color w:val="auto"/>
          <w:highlight w:val="none"/>
          <w:lang w:eastAsia="zh-CN"/>
        </w:rPr>
        <w:t>，</w:t>
      </w:r>
      <w:r>
        <w:rPr>
          <w:color w:val="auto"/>
          <w:highlight w:val="none"/>
        </w:rPr>
        <w:t>实现高水平生态保护与经济社会高质量发展协同并进。</w:t>
      </w:r>
    </w:p>
    <w:p>
      <w:pPr>
        <w:pStyle w:val="3"/>
        <w:pageBreakBefore w:val="0"/>
        <w:wordWrap/>
        <w:overflowPunct/>
        <w:autoSpaceDE/>
        <w:autoSpaceDN/>
        <w:bidi w:val="0"/>
        <w:spacing w:line="530" w:lineRule="exact"/>
        <w:rPr>
          <w:color w:val="auto"/>
          <w:highlight w:val="none"/>
        </w:rPr>
      </w:pPr>
      <w:bookmarkStart w:id="445" w:name="_Toc3941347"/>
      <w:bookmarkStart w:id="446" w:name="_Toc269096605"/>
      <w:bookmarkStart w:id="447" w:name="_Toc5736114"/>
      <w:bookmarkStart w:id="448" w:name="_Toc1585422182"/>
      <w:bookmarkStart w:id="449" w:name="_Toc1661598505"/>
      <w:bookmarkStart w:id="450" w:name="_Toc2079652925"/>
      <w:bookmarkStart w:id="451" w:name="_Toc395030645"/>
      <w:bookmarkStart w:id="452" w:name="_Toc1839338558"/>
      <w:bookmarkStart w:id="453" w:name="_Toc2124852730"/>
      <w:bookmarkStart w:id="454" w:name="_Toc21302"/>
      <w:bookmarkStart w:id="455" w:name="_Toc968685249"/>
      <w:r>
        <w:rPr>
          <w:color w:val="auto"/>
          <w:highlight w:val="none"/>
        </w:rPr>
        <w:t>深入打好污染防治攻坚战</w:t>
      </w:r>
      <w:bookmarkEnd w:id="445"/>
      <w:bookmarkEnd w:id="446"/>
      <w:bookmarkEnd w:id="447"/>
      <w:bookmarkEnd w:id="448"/>
      <w:bookmarkEnd w:id="449"/>
    </w:p>
    <w:p>
      <w:pPr>
        <w:pStyle w:val="4"/>
        <w:pageBreakBefore w:val="0"/>
        <w:wordWrap/>
        <w:overflowPunct/>
        <w:autoSpaceDE/>
        <w:autoSpaceDN/>
        <w:bidi w:val="0"/>
        <w:spacing w:line="530" w:lineRule="exact"/>
        <w:rPr>
          <w:color w:val="auto"/>
          <w:highlight w:val="none"/>
        </w:rPr>
      </w:pPr>
      <w:bookmarkStart w:id="456" w:name="_Toc1817709619"/>
      <w:bookmarkStart w:id="457" w:name="_Toc106079653"/>
      <w:r>
        <w:rPr>
          <w:rFonts w:hint="eastAsia"/>
          <w:color w:val="auto"/>
          <w:highlight w:val="none"/>
        </w:rPr>
        <w:t>深化</w:t>
      </w:r>
      <w:r>
        <w:rPr>
          <w:color w:val="auto"/>
          <w:highlight w:val="none"/>
        </w:rPr>
        <w:t>大气污染防治</w:t>
      </w:r>
      <w:bookmarkEnd w:id="456"/>
      <w:bookmarkEnd w:id="457"/>
    </w:p>
    <w:p>
      <w:pPr>
        <w:pStyle w:val="19"/>
        <w:pageBreakBefore w:val="0"/>
        <w:wordWrap/>
        <w:overflowPunct/>
        <w:autoSpaceDE/>
        <w:autoSpaceDN/>
        <w:bidi w:val="0"/>
        <w:spacing w:line="530" w:lineRule="exact"/>
        <w:ind w:firstLine="643"/>
        <w:rPr>
          <w:rFonts w:hint="eastAsia" w:ascii="Times New Roman" w:hAnsi="Times New Roman" w:eastAsia="仿宋_GB2312" w:cs="Times New Roman"/>
          <w:b/>
          <w:bCs/>
          <w:color w:val="auto"/>
          <w:szCs w:val="32"/>
          <w:highlight w:val="none"/>
          <w:lang w:eastAsia="zh-CN"/>
        </w:rPr>
      </w:pPr>
      <w:r>
        <w:rPr>
          <w:rFonts w:ascii="Times New Roman" w:hAnsi="Times New Roman" w:cs="Times New Roman"/>
          <w:b/>
          <w:bCs/>
          <w:color w:val="auto"/>
          <w:szCs w:val="32"/>
          <w:highlight w:val="none"/>
        </w:rPr>
        <w:t>实施空气质量目标管理。</w:t>
      </w:r>
      <w:r>
        <w:rPr>
          <w:rFonts w:ascii="Times New Roman" w:hAnsi="Times New Roman" w:cs="Times New Roman"/>
          <w:color w:val="auto"/>
          <w:szCs w:val="32"/>
          <w:highlight w:val="none"/>
        </w:rPr>
        <w:t>推进大气环境质量达标规划，设定空气质量达标期限，细化各阶段污染防治的重点任务。保障</w:t>
      </w:r>
      <w:r>
        <w:rPr>
          <w:rFonts w:ascii="Times New Roman" w:hAnsi="Times New Roman" w:cs="Times New Roman"/>
          <w:b w:val="0"/>
          <w:i w:val="0"/>
          <w:color w:val="auto"/>
          <w:szCs w:val="32"/>
          <w:highlight w:val="none"/>
        </w:rPr>
        <w:t>2030</w:t>
      </w:r>
      <w:r>
        <w:rPr>
          <w:rFonts w:ascii="Times New Roman" w:hAnsi="Times New Roman" w:cs="Times New Roman"/>
          <w:color w:val="auto"/>
          <w:szCs w:val="32"/>
          <w:highlight w:val="none"/>
        </w:rPr>
        <w:t>年细颗粒物浓度降至</w:t>
      </w:r>
      <w:r>
        <w:rPr>
          <w:rFonts w:hint="eastAsia" w:ascii="Times New Roman" w:hAnsi="Times New Roman" w:cs="Times New Roman"/>
          <w:b w:val="0"/>
          <w:i w:val="0"/>
          <w:color w:val="auto"/>
          <w:szCs w:val="32"/>
          <w:highlight w:val="none"/>
          <w:lang w:val="en-US" w:eastAsia="zh-CN"/>
        </w:rPr>
        <w:t>30</w:t>
      </w:r>
      <w:r>
        <w:rPr>
          <w:rFonts w:ascii="Times New Roman" w:hAnsi="Times New Roman" w:cs="Times New Roman"/>
          <w:color w:val="auto"/>
          <w:szCs w:val="32"/>
          <w:highlight w:val="none"/>
        </w:rPr>
        <w:t>微克/立方米以下。</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eastAsia="zh-CN"/>
        </w:rPr>
      </w:pPr>
      <w:r>
        <w:rPr>
          <w:rFonts w:ascii="Times New Roman" w:hAnsi="Times New Roman" w:cs="Times New Roman"/>
          <w:b/>
          <w:bCs/>
          <w:color w:val="auto"/>
          <w:szCs w:val="32"/>
          <w:highlight w:val="none"/>
        </w:rPr>
        <w:t>强化秸秆禁烧综合治理。</w:t>
      </w:r>
      <w:r>
        <w:rPr>
          <w:rFonts w:ascii="Times New Roman" w:hAnsi="Times New Roman" w:cs="Times New Roman"/>
          <w:color w:val="auto"/>
          <w:szCs w:val="32"/>
          <w:highlight w:val="none"/>
        </w:rPr>
        <w:t>严格管控焚</w:t>
      </w:r>
      <w:r>
        <w:rPr>
          <w:rFonts w:hint="eastAsia" w:ascii="Times New Roman" w:hAnsi="Times New Roman" w:cs="Times New Roman"/>
          <w:color w:val="auto"/>
          <w:szCs w:val="32"/>
          <w:highlight w:val="none"/>
        </w:rPr>
        <w:t>烧行为，探索秸秆禁烧新模式，打好重污染天气消除攻坚战。推进秸秆还田、</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秸秆变肉</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等工程</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提</w:t>
      </w:r>
      <w:r>
        <w:rPr>
          <w:rFonts w:hint="eastAsia" w:ascii="Times New Roman" w:hAnsi="Times New Roman" w:cs="Times New Roman"/>
          <w:color w:val="auto"/>
          <w:szCs w:val="32"/>
          <w:highlight w:val="none"/>
          <w:lang w:val="en-US" w:eastAsia="zh-CN"/>
        </w:rPr>
        <w:t>高</w:t>
      </w:r>
      <w:r>
        <w:rPr>
          <w:rFonts w:hint="eastAsia" w:ascii="Times New Roman" w:hAnsi="Times New Roman" w:cs="Times New Roman"/>
          <w:color w:val="auto"/>
          <w:szCs w:val="32"/>
          <w:highlight w:val="none"/>
        </w:rPr>
        <w:t>秸秆肥料化、能源化、饲料化、基料化、原料化</w:t>
      </w:r>
      <w:r>
        <w:rPr>
          <w:rFonts w:ascii="Times New Roman" w:hAnsi="Times New Roman" w:cs="Times New Roman"/>
          <w:color w:val="auto"/>
          <w:szCs w:val="32"/>
          <w:highlight w:val="none"/>
        </w:rPr>
        <w:t>利用能力</w:t>
      </w:r>
      <w:r>
        <w:rPr>
          <w:rFonts w:hint="eastAsia" w:ascii="Times New Roman" w:hAnsi="Times New Roman" w:cs="Times New Roman"/>
          <w:color w:val="auto"/>
          <w:szCs w:val="32"/>
          <w:highlight w:val="none"/>
          <w:lang w:eastAsia="zh-CN"/>
        </w:rPr>
        <w:t>。</w:t>
      </w:r>
    </w:p>
    <w:p>
      <w:pPr>
        <w:pStyle w:val="19"/>
        <w:pageBreakBefore w:val="0"/>
        <w:wordWrap/>
        <w:overflowPunct/>
        <w:autoSpaceDE/>
        <w:autoSpaceDN/>
        <w:bidi w:val="0"/>
        <w:spacing w:line="530" w:lineRule="exact"/>
        <w:ind w:firstLine="236"/>
        <w:rPr>
          <w:rFonts w:ascii="Times New Roman" w:hAnsi="Times New Roman" w:cs="Times New Roman"/>
          <w:color w:val="auto"/>
          <w:szCs w:val="32"/>
          <w:highlight w:val="none"/>
        </w:rPr>
      </w:pPr>
      <w:r>
        <w:rPr>
          <w:rFonts w:ascii="Times New Roman" w:hAnsi="Times New Roman" w:eastAsia="Segoe UI" w:cs="Times New Roman"/>
          <w:color w:val="auto"/>
          <w:spacing w:val="-1"/>
          <w:sz w:val="12"/>
          <w:szCs w:val="12"/>
          <w:highlight w:val="none"/>
          <w:shd w:val="clear" w:color="auto" w:fill="FFFFFF"/>
        </w:rPr>
        <w:t>​</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b/>
          <w:bCs/>
          <w:color w:val="auto"/>
          <w:szCs w:val="32"/>
          <w:highlight w:val="none"/>
          <w:lang w:val="en-US" w:eastAsia="zh-CN"/>
        </w:rPr>
        <w:t>推进工业污染源治理。</w:t>
      </w:r>
      <w:r>
        <w:rPr>
          <w:rFonts w:hint="eastAsia" w:ascii="Times New Roman" w:hAnsi="Times New Roman" w:cs="Times New Roman"/>
          <w:color w:val="auto"/>
          <w:szCs w:val="32"/>
          <w:highlight w:val="none"/>
          <w:lang w:val="en-US" w:eastAsia="zh-CN"/>
        </w:rPr>
        <w:t>强化挥发性有机物（VOCs）全流程、全环节综合治理，以轨道交通制造、汽车零部件等重点行业无组织排放治理为重点，推进工业园区清洁化改造，实现工业废气排放全面达标。</w:t>
      </w:r>
    </w:p>
    <w:p>
      <w:pPr>
        <w:pStyle w:val="19"/>
        <w:pageBreakBefore w:val="0"/>
        <w:wordWrap/>
        <w:overflowPunct/>
        <w:autoSpaceDE/>
        <w:autoSpaceDN/>
        <w:bidi w:val="0"/>
        <w:spacing w:line="530" w:lineRule="exact"/>
        <w:ind w:firstLine="236"/>
        <w:rPr>
          <w:rFonts w:hint="eastAsia"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lang w:val="en-US" w:eastAsia="zh-CN"/>
        </w:rPr>
        <w:t>加强</w:t>
      </w:r>
      <w:r>
        <w:rPr>
          <w:rFonts w:ascii="Times New Roman" w:hAnsi="Times New Roman" w:cs="Times New Roman"/>
          <w:b/>
          <w:bCs/>
          <w:color w:val="auto"/>
          <w:szCs w:val="32"/>
          <w:highlight w:val="none"/>
        </w:rPr>
        <w:t>移动源污染治理</w:t>
      </w:r>
      <w:r>
        <w:rPr>
          <w:rFonts w:hint="eastAsia" w:ascii="Times New Roman" w:hAnsi="Times New Roman" w:cs="Times New Roman"/>
          <w:b/>
          <w:bCs/>
          <w:color w:val="auto"/>
          <w:szCs w:val="32"/>
          <w:highlight w:val="none"/>
          <w:lang w:val="en-US" w:eastAsia="zh-CN"/>
        </w:rPr>
        <w:t>管控</w:t>
      </w:r>
      <w:r>
        <w:rPr>
          <w:rFonts w:hint="eastAsia" w:ascii="Times New Roman" w:hAnsi="Times New Roman" w:cs="Times New Roman"/>
          <w:b/>
          <w:bCs/>
          <w:color w:val="auto"/>
          <w:szCs w:val="32"/>
          <w:highlight w:val="none"/>
          <w:lang w:eastAsia="zh-CN"/>
        </w:rPr>
        <w:t>。</w:t>
      </w:r>
      <w:r>
        <w:rPr>
          <w:rFonts w:hint="eastAsia" w:ascii="Times New Roman" w:hAnsi="Times New Roman" w:cs="Times New Roman"/>
          <w:color w:val="auto"/>
          <w:szCs w:val="32"/>
          <w:highlight w:val="none"/>
          <w:lang w:val="en-US" w:eastAsia="zh-CN"/>
        </w:rPr>
        <w:t>加速淘汰高排放车辆，</w:t>
      </w:r>
      <w:r>
        <w:rPr>
          <w:rFonts w:hint="eastAsia" w:ascii="Times New Roman" w:hAnsi="Times New Roman" w:cs="Times New Roman"/>
          <w:color w:val="auto"/>
          <w:szCs w:val="32"/>
          <w:highlight w:val="none"/>
        </w:rPr>
        <w:t>严格执行车用汽油质量标准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推广新能源汽车应用</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优化运输结构，</w:t>
      </w:r>
      <w:r>
        <w:rPr>
          <w:rFonts w:hint="eastAsia" w:ascii="Times New Roman" w:hAnsi="Times New Roman" w:cs="Times New Roman"/>
          <w:color w:val="auto"/>
          <w:szCs w:val="32"/>
          <w:highlight w:val="none"/>
        </w:rPr>
        <w:t>推动重点行业清洁运输</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加大监管力度，聚焦</w:t>
      </w:r>
      <w:r>
        <w:rPr>
          <w:rFonts w:hint="eastAsia" w:ascii="Times New Roman" w:hAnsi="Times New Roman" w:cs="Times New Roman"/>
          <w:color w:val="auto"/>
          <w:szCs w:val="32"/>
          <w:highlight w:val="none"/>
        </w:rPr>
        <w:t>移动源超标排放与检验数据造假等问题</w:t>
      </w:r>
      <w:r>
        <w:rPr>
          <w:rFonts w:hint="eastAsia" w:ascii="Times New Roman" w:hAnsi="Times New Roman" w:cs="Times New Roman"/>
          <w:color w:val="auto"/>
          <w:szCs w:val="32"/>
          <w:highlight w:val="none"/>
          <w:lang w:val="en-US" w:eastAsia="zh-CN"/>
        </w:rPr>
        <w:t>。</w:t>
      </w:r>
    </w:p>
    <w:p>
      <w:pPr>
        <w:pStyle w:val="19"/>
        <w:pageBreakBefore w:val="0"/>
        <w:wordWrap/>
        <w:overflowPunct/>
        <w:autoSpaceDE/>
        <w:autoSpaceDN/>
        <w:bidi w:val="0"/>
        <w:spacing w:line="530" w:lineRule="exact"/>
        <w:ind w:firstLine="236"/>
        <w:rPr>
          <w:rFonts w:hint="eastAsia"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rPr>
        <w:t>着力解决恶臭污染问题</w:t>
      </w:r>
      <w:r>
        <w:rPr>
          <w:rFonts w:hint="eastAsia" w:ascii="Times New Roman" w:hAnsi="Times New Roman" w:cs="Times New Roman"/>
          <w:b/>
          <w:bCs/>
          <w:color w:val="auto"/>
          <w:szCs w:val="32"/>
          <w:highlight w:val="none"/>
          <w:lang w:eastAsia="zh-CN"/>
        </w:rPr>
        <w:t>。</w:t>
      </w:r>
      <w:r>
        <w:rPr>
          <w:rFonts w:hint="eastAsia" w:ascii="Times New Roman" w:hAnsi="Times New Roman" w:cs="Times New Roman"/>
          <w:color w:val="auto"/>
          <w:szCs w:val="32"/>
          <w:highlight w:val="none"/>
          <w:lang w:val="en-US" w:eastAsia="zh-CN"/>
        </w:rPr>
        <w:t>深化重点行业恶臭物源头减排与控制，全面提升垃圾收集、污水集中式处理设施密闭收集力度，优化除臭工艺。</w:t>
      </w:r>
    </w:p>
    <w:p>
      <w:pPr>
        <w:pStyle w:val="4"/>
        <w:pageBreakBefore w:val="0"/>
        <w:wordWrap/>
        <w:overflowPunct/>
        <w:autoSpaceDE/>
        <w:autoSpaceDN/>
        <w:bidi w:val="0"/>
        <w:spacing w:line="530" w:lineRule="exact"/>
        <w:rPr>
          <w:color w:val="auto"/>
          <w:highlight w:val="none"/>
        </w:rPr>
      </w:pPr>
      <w:bookmarkStart w:id="458" w:name="_Toc469300961"/>
      <w:bookmarkStart w:id="459" w:name="_Toc143204311"/>
      <w:r>
        <w:rPr>
          <w:color w:val="auto"/>
          <w:highlight w:val="none"/>
        </w:rPr>
        <w:t>加强水体</w:t>
      </w:r>
      <w:r>
        <w:rPr>
          <w:rFonts w:hint="eastAsia"/>
          <w:color w:val="auto"/>
          <w:highlight w:val="none"/>
        </w:rPr>
        <w:t>环境治理</w:t>
      </w:r>
      <w:bookmarkEnd w:id="458"/>
      <w:bookmarkEnd w:id="459"/>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治理重点流域污染。</w:t>
      </w:r>
      <w:r>
        <w:rPr>
          <w:rFonts w:ascii="Times New Roman" w:hAnsi="Times New Roman" w:cs="Times New Roman"/>
          <w:color w:val="auto"/>
          <w:szCs w:val="32"/>
          <w:highlight w:val="none"/>
        </w:rPr>
        <w:t>加快实施新凯河流域治理相关工程，重点针对雷家沟、民丰沟、双龙沟、三间沟、四间沟、大谷家沟、串湖、雁鸣湖等</w:t>
      </w:r>
      <w:r>
        <w:rPr>
          <w:rFonts w:hint="eastAsia" w:cs="Times New Roman"/>
          <w:b w:val="0"/>
          <w:i w:val="0"/>
          <w:color w:val="auto"/>
          <w:szCs w:val="32"/>
          <w:highlight w:val="none"/>
          <w:lang w:val="en-US" w:eastAsia="zh-CN"/>
        </w:rPr>
        <w:t>8</w:t>
      </w:r>
      <w:r>
        <w:rPr>
          <w:rFonts w:ascii="Times New Roman" w:hAnsi="Times New Roman" w:cs="Times New Roman"/>
          <w:color w:val="auto"/>
          <w:szCs w:val="32"/>
          <w:highlight w:val="none"/>
        </w:rPr>
        <w:t>处水体实施污染治理，实现区域全面消除劣Ⅴ类水体。</w:t>
      </w:r>
    </w:p>
    <w:p>
      <w:pPr>
        <w:pStyle w:val="19"/>
        <w:pageBreakBefore w:val="0"/>
        <w:wordWrap/>
        <w:overflowPunct/>
        <w:autoSpaceDE/>
        <w:autoSpaceDN/>
        <w:bidi w:val="0"/>
        <w:spacing w:line="530" w:lineRule="exact"/>
        <w:ind w:firstLine="643"/>
        <w:rPr>
          <w:rFonts w:hint="eastAsia" w:ascii="Times New Roman" w:hAnsi="Times New Roman" w:eastAsia="仿宋_GB2312" w:cs="Times New Roman"/>
          <w:color w:val="auto"/>
          <w:szCs w:val="32"/>
          <w:highlight w:val="none"/>
          <w:lang w:val="en-US" w:eastAsia="zh-CN"/>
        </w:rPr>
      </w:pPr>
      <w:r>
        <w:rPr>
          <w:rFonts w:hint="eastAsia" w:ascii="Times New Roman" w:hAnsi="Times New Roman" w:cs="Times New Roman"/>
          <w:b/>
          <w:bCs/>
          <w:color w:val="auto"/>
          <w:szCs w:val="32"/>
          <w:highlight w:val="none"/>
          <w:lang w:val="en-US" w:eastAsia="zh-CN"/>
        </w:rPr>
        <w:t>提升水体</w:t>
      </w:r>
      <w:r>
        <w:rPr>
          <w:rFonts w:hint="eastAsia" w:ascii="Times New Roman" w:hAnsi="Times New Roman" w:cs="Times New Roman"/>
          <w:b/>
          <w:bCs/>
          <w:color w:val="auto"/>
          <w:szCs w:val="32"/>
          <w:highlight w:val="none"/>
        </w:rPr>
        <w:t>环境质量</w:t>
      </w:r>
      <w:r>
        <w:rPr>
          <w:rFonts w:hint="eastAsia" w:ascii="Times New Roman" w:hAnsi="Times New Roman" w:cs="Times New Roman"/>
          <w:b/>
          <w:bCs/>
          <w:color w:val="auto"/>
          <w:szCs w:val="32"/>
          <w:highlight w:val="none"/>
          <w:lang w:eastAsia="zh-CN"/>
        </w:rPr>
        <w:t>。</w:t>
      </w:r>
      <w:r>
        <w:rPr>
          <w:rFonts w:hint="eastAsia" w:ascii="Times New Roman" w:hAnsi="Times New Roman" w:cs="Times New Roman"/>
          <w:color w:val="auto"/>
          <w:szCs w:val="32"/>
          <w:highlight w:val="none"/>
          <w:lang w:val="en-US" w:eastAsia="zh-CN"/>
        </w:rPr>
        <w:t>加强</w:t>
      </w:r>
      <w:r>
        <w:rPr>
          <w:rFonts w:ascii="Times New Roman" w:hAnsi="Times New Roman" w:cs="Times New Roman"/>
          <w:color w:val="auto"/>
          <w:szCs w:val="32"/>
          <w:highlight w:val="none"/>
        </w:rPr>
        <w:t>农业面源污染</w:t>
      </w:r>
      <w:r>
        <w:rPr>
          <w:rFonts w:hint="eastAsia" w:ascii="Times New Roman" w:hAnsi="Times New Roman" w:cs="Times New Roman"/>
          <w:color w:val="auto"/>
          <w:szCs w:val="32"/>
          <w:highlight w:val="none"/>
          <w:lang w:val="en-US" w:eastAsia="zh-CN"/>
        </w:rPr>
        <w:t>控制</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倡导</w:t>
      </w:r>
      <w:r>
        <w:rPr>
          <w:rFonts w:hint="eastAsia" w:ascii="Times New Roman" w:hAnsi="Times New Roman" w:cs="Times New Roman"/>
          <w:color w:val="auto"/>
          <w:szCs w:val="32"/>
          <w:highlight w:val="none"/>
        </w:rPr>
        <w:t>农业节水增效</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强化工业污染</w:t>
      </w:r>
      <w:r>
        <w:rPr>
          <w:rFonts w:hint="eastAsia" w:ascii="Times New Roman" w:hAnsi="Times New Roman" w:cs="Times New Roman"/>
          <w:color w:val="auto"/>
          <w:szCs w:val="32"/>
          <w:highlight w:val="none"/>
          <w:lang w:val="en-US" w:eastAsia="zh-CN"/>
        </w:rPr>
        <w:t>防控</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引导</w:t>
      </w:r>
      <w:r>
        <w:rPr>
          <w:rFonts w:hint="eastAsia" w:ascii="Times New Roman" w:hAnsi="Times New Roman" w:cs="Times New Roman"/>
          <w:color w:val="auto"/>
          <w:szCs w:val="32"/>
          <w:highlight w:val="none"/>
        </w:rPr>
        <w:t>工业节水减排</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在重点行业推行企业污水治理与排放绩效分级管理</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推进内源污染治理与水体生态修复，基本消除城乡黑臭水体，建立长效监测和管护机制。</w:t>
      </w:r>
      <w:r>
        <w:rPr>
          <w:rFonts w:hint="eastAsia" w:ascii="Times New Roman" w:hAnsi="Times New Roman" w:cs="Times New Roman"/>
          <w:color w:val="auto"/>
          <w:szCs w:val="32"/>
          <w:highlight w:val="none"/>
          <w:lang w:val="en-US" w:eastAsia="zh-CN"/>
        </w:rPr>
        <w:t>规范</w:t>
      </w:r>
      <w:r>
        <w:rPr>
          <w:rFonts w:ascii="Times New Roman" w:hAnsi="Times New Roman" w:cs="Times New Roman"/>
          <w:color w:val="auto"/>
          <w:szCs w:val="32"/>
          <w:highlight w:val="none"/>
        </w:rPr>
        <w:t>入河排污口</w:t>
      </w:r>
      <w:r>
        <w:rPr>
          <w:rFonts w:hint="eastAsia" w:ascii="Times New Roman" w:hAnsi="Times New Roman" w:cs="Times New Roman"/>
          <w:color w:val="auto"/>
          <w:szCs w:val="32"/>
          <w:highlight w:val="none"/>
          <w:lang w:val="en-US" w:eastAsia="zh-CN"/>
        </w:rPr>
        <w:t>管理</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加强</w:t>
      </w:r>
      <w:r>
        <w:rPr>
          <w:rFonts w:ascii="Times New Roman" w:hAnsi="Times New Roman" w:cs="Times New Roman"/>
          <w:color w:val="auto"/>
          <w:szCs w:val="32"/>
          <w:highlight w:val="none"/>
        </w:rPr>
        <w:t>排污口监测监管。补齐污水收集和处理设施短板，推进老旧城区、城乡接合部污水管网建设。加强水质断面管理</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构建</w:t>
      </w:r>
      <w:r>
        <w:rPr>
          <w:rFonts w:hint="eastAsia" w:ascii="Times New Roman" w:hAnsi="Times New Roman" w:cs="Times New Roman"/>
          <w:color w:val="auto"/>
          <w:szCs w:val="32"/>
          <w:highlight w:val="none"/>
          <w:lang w:val="en-US" w:eastAsia="zh-CN"/>
        </w:rPr>
        <w:t>水质</w:t>
      </w:r>
      <w:r>
        <w:rPr>
          <w:rFonts w:ascii="Times New Roman" w:hAnsi="Times New Roman" w:cs="Times New Roman"/>
          <w:color w:val="auto"/>
          <w:szCs w:val="32"/>
          <w:highlight w:val="none"/>
        </w:rPr>
        <w:t>监测预警体系</w:t>
      </w:r>
      <w:r>
        <w:rPr>
          <w:rFonts w:hint="eastAsia" w:ascii="Times New Roman" w:hAnsi="Times New Roman" w:cs="Times New Roman"/>
          <w:color w:val="auto"/>
          <w:szCs w:val="32"/>
          <w:highlight w:val="none"/>
          <w:lang w:eastAsia="zh-CN"/>
        </w:rPr>
        <w:t>。</w:t>
      </w:r>
    </w:p>
    <w:p>
      <w:pPr>
        <w:pStyle w:val="4"/>
        <w:pageBreakBefore w:val="0"/>
        <w:wordWrap/>
        <w:overflowPunct/>
        <w:autoSpaceDE/>
        <w:autoSpaceDN/>
        <w:bidi w:val="0"/>
        <w:spacing w:line="530" w:lineRule="exact"/>
        <w:rPr>
          <w:color w:val="auto"/>
          <w:highlight w:val="none"/>
        </w:rPr>
      </w:pPr>
      <w:bookmarkStart w:id="460" w:name="_Toc1981299743"/>
      <w:bookmarkStart w:id="461" w:name="_Toc1653170337"/>
      <w:r>
        <w:rPr>
          <w:rFonts w:hint="eastAsia"/>
          <w:color w:val="auto"/>
          <w:highlight w:val="none"/>
        </w:rPr>
        <w:t>实施</w:t>
      </w:r>
      <w:r>
        <w:rPr>
          <w:color w:val="auto"/>
          <w:highlight w:val="none"/>
        </w:rPr>
        <w:t>土壤污染防控</w:t>
      </w:r>
      <w:bookmarkEnd w:id="460"/>
      <w:bookmarkEnd w:id="461"/>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加强农用地安全管控。</w:t>
      </w:r>
      <w:r>
        <w:rPr>
          <w:rFonts w:ascii="Times New Roman" w:hAnsi="Times New Roman" w:cs="Times New Roman"/>
          <w:color w:val="auto"/>
          <w:szCs w:val="32"/>
          <w:highlight w:val="none"/>
        </w:rPr>
        <w:t>实施农用地分类管理，</w:t>
      </w:r>
      <w:r>
        <w:rPr>
          <w:rFonts w:hint="eastAsia" w:ascii="Times New Roman" w:hAnsi="Times New Roman" w:cs="Times New Roman"/>
          <w:color w:val="auto"/>
          <w:szCs w:val="32"/>
          <w:highlight w:val="none"/>
          <w:lang w:val="en-US" w:eastAsia="zh-CN"/>
        </w:rPr>
        <w:t>加强</w:t>
      </w:r>
      <w:r>
        <w:rPr>
          <w:rFonts w:ascii="Times New Roman" w:hAnsi="Times New Roman" w:cs="Times New Roman"/>
          <w:color w:val="auto"/>
          <w:szCs w:val="32"/>
          <w:highlight w:val="none"/>
        </w:rPr>
        <w:t>耕地</w:t>
      </w:r>
      <w:r>
        <w:rPr>
          <w:rFonts w:hint="eastAsia" w:ascii="Times New Roman" w:hAnsi="Times New Roman" w:cs="Times New Roman"/>
          <w:color w:val="auto"/>
          <w:szCs w:val="32"/>
          <w:highlight w:val="none"/>
          <w:lang w:val="en-US" w:eastAsia="zh-CN"/>
        </w:rPr>
        <w:t>保护</w:t>
      </w:r>
      <w:r>
        <w:rPr>
          <w:rFonts w:ascii="Times New Roman" w:hAnsi="Times New Roman" w:cs="Times New Roman"/>
          <w:color w:val="auto"/>
          <w:szCs w:val="32"/>
          <w:highlight w:val="none"/>
        </w:rPr>
        <w:t>，划定</w:t>
      </w:r>
      <w:r>
        <w:rPr>
          <w:rFonts w:hint="eastAsia" w:ascii="Times New Roman" w:hAnsi="Times New Roman" w:cs="Times New Roman"/>
          <w:color w:val="auto"/>
          <w:szCs w:val="32"/>
          <w:highlight w:val="none"/>
        </w:rPr>
        <w:t>农产品严格管控区域</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构建</w:t>
      </w:r>
      <w:r>
        <w:rPr>
          <w:rFonts w:hint="eastAsia" w:ascii="Times New Roman" w:hAnsi="Times New Roman" w:cs="Times New Roman"/>
          <w:color w:val="auto"/>
          <w:szCs w:val="32"/>
          <w:highlight w:val="none"/>
        </w:rPr>
        <w:t>绿色清洁种养模式，</w:t>
      </w:r>
      <w:r>
        <w:rPr>
          <w:rFonts w:ascii="Times New Roman" w:hAnsi="Times New Roman" w:cs="Times New Roman"/>
          <w:color w:val="auto"/>
          <w:szCs w:val="32"/>
          <w:highlight w:val="none"/>
        </w:rPr>
        <w:t>以化肥农药减量和畜禽粪污资源化为重点</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强化</w:t>
      </w:r>
      <w:r>
        <w:rPr>
          <w:rFonts w:ascii="Times New Roman" w:hAnsi="Times New Roman" w:cs="Times New Roman"/>
          <w:color w:val="auto"/>
          <w:szCs w:val="32"/>
          <w:highlight w:val="none"/>
        </w:rPr>
        <w:t>农业面源污染防控</w:t>
      </w:r>
      <w:r>
        <w:rPr>
          <w:rFonts w:hint="eastAsia" w:ascii="Times New Roman" w:hAnsi="Times New Roman" w:cs="Times New Roman"/>
          <w:color w:val="auto"/>
          <w:szCs w:val="32"/>
          <w:highlight w:val="none"/>
          <w:lang w:eastAsia="zh-CN"/>
        </w:rPr>
        <w:t>。</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推进建设用地安全利用。</w:t>
      </w:r>
      <w:r>
        <w:rPr>
          <w:rFonts w:hint="eastAsia" w:ascii="Times New Roman" w:hAnsi="Times New Roman" w:cs="Times New Roman"/>
          <w:color w:val="auto"/>
          <w:szCs w:val="32"/>
          <w:highlight w:val="none"/>
          <w:lang w:val="en-US" w:eastAsia="zh-CN"/>
        </w:rPr>
        <w:t>加强</w:t>
      </w:r>
      <w:r>
        <w:rPr>
          <w:rFonts w:ascii="Times New Roman" w:hAnsi="Times New Roman" w:cs="Times New Roman"/>
          <w:color w:val="auto"/>
          <w:szCs w:val="32"/>
          <w:highlight w:val="none"/>
        </w:rPr>
        <w:t>土壤污染源头防控，严控新增污染</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落实土壤及地下水隐患排查监测制度，加</w:t>
      </w:r>
      <w:r>
        <w:rPr>
          <w:rFonts w:hint="eastAsia" w:ascii="Times New Roman" w:hAnsi="Times New Roman" w:cs="Times New Roman"/>
          <w:color w:val="auto"/>
          <w:szCs w:val="32"/>
          <w:highlight w:val="none"/>
          <w:lang w:val="en-US" w:eastAsia="zh-CN"/>
        </w:rPr>
        <w:t>大</w:t>
      </w:r>
      <w:r>
        <w:rPr>
          <w:rFonts w:ascii="Times New Roman" w:hAnsi="Times New Roman" w:cs="Times New Roman"/>
          <w:color w:val="auto"/>
          <w:szCs w:val="32"/>
          <w:highlight w:val="none"/>
        </w:rPr>
        <w:t>建设用地准入管理</w:t>
      </w:r>
      <w:r>
        <w:rPr>
          <w:rFonts w:hint="eastAsia" w:ascii="Times New Roman" w:hAnsi="Times New Roman" w:cs="Times New Roman"/>
          <w:color w:val="auto"/>
          <w:szCs w:val="32"/>
          <w:highlight w:val="none"/>
          <w:lang w:val="en-US" w:eastAsia="zh-CN"/>
        </w:rPr>
        <w:t>力度</w:t>
      </w:r>
      <w:r>
        <w:rPr>
          <w:rFonts w:ascii="Times New Roman" w:hAnsi="Times New Roman" w:cs="Times New Roman"/>
          <w:color w:val="auto"/>
          <w:szCs w:val="32"/>
          <w:highlight w:val="none"/>
        </w:rPr>
        <w:t>，严格管控污染地块利用，建立土壤环境监测预警体系。动态更新土壤污染重点监管单位名录</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加强汽车零部件加工、装备制造等重点企业周边环境监测。建立生态补偿机制，鼓励企业参与生态治理项目。</w:t>
      </w:r>
    </w:p>
    <w:p>
      <w:pPr>
        <w:pStyle w:val="4"/>
        <w:pageBreakBefore w:val="0"/>
        <w:wordWrap/>
        <w:overflowPunct/>
        <w:autoSpaceDE/>
        <w:autoSpaceDN/>
        <w:bidi w:val="0"/>
        <w:spacing w:line="530" w:lineRule="exact"/>
        <w:rPr>
          <w:color w:val="auto"/>
          <w:highlight w:val="none"/>
        </w:rPr>
      </w:pPr>
      <w:bookmarkStart w:id="462" w:name="_Toc823350219"/>
      <w:bookmarkStart w:id="463" w:name="_Toc690429073"/>
      <w:r>
        <w:rPr>
          <w:rFonts w:hint="eastAsia"/>
          <w:color w:val="auto"/>
          <w:highlight w:val="none"/>
        </w:rPr>
        <w:t>推进</w:t>
      </w:r>
      <w:r>
        <w:rPr>
          <w:rFonts w:hint="eastAsia"/>
          <w:color w:val="auto"/>
          <w:highlight w:val="none"/>
          <w:lang w:eastAsia="zh-CN"/>
        </w:rPr>
        <w:t>“</w:t>
      </w:r>
      <w:r>
        <w:rPr>
          <w:rFonts w:hint="eastAsia"/>
          <w:color w:val="auto"/>
          <w:highlight w:val="none"/>
          <w:lang w:val="en-US" w:eastAsia="zh-CN"/>
        </w:rPr>
        <w:t>无废城市</w:t>
      </w:r>
      <w:r>
        <w:rPr>
          <w:rFonts w:hint="eastAsia"/>
          <w:color w:val="auto"/>
          <w:highlight w:val="none"/>
          <w:lang w:eastAsia="zh-CN"/>
        </w:rPr>
        <w:t>”</w:t>
      </w:r>
      <w:r>
        <w:rPr>
          <w:rFonts w:hint="eastAsia"/>
          <w:color w:val="auto"/>
          <w:highlight w:val="none"/>
          <w:lang w:val="en-US" w:eastAsia="zh-CN"/>
        </w:rPr>
        <w:t>建设</w:t>
      </w:r>
      <w:bookmarkEnd w:id="462"/>
      <w:bookmarkEnd w:id="463"/>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完善生活垃圾处置。</w:t>
      </w:r>
      <w:r>
        <w:rPr>
          <w:rFonts w:hint="eastAsia" w:ascii="Times New Roman" w:hAnsi="Times New Roman" w:cs="Times New Roman"/>
          <w:color w:val="auto"/>
          <w:szCs w:val="32"/>
          <w:highlight w:val="none"/>
        </w:rPr>
        <w:t>完善生活垃圾分类收集、运输和处理系统</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巩固提升</w:t>
      </w:r>
      <w:r>
        <w:rPr>
          <w:rFonts w:hint="eastAsia" w:ascii="Times New Roman" w:hAnsi="Times New Roman" w:cs="Times New Roman"/>
          <w:color w:val="auto"/>
          <w:szCs w:val="32"/>
          <w:highlight w:val="none"/>
          <w:lang w:val="en-US" w:eastAsia="zh-CN"/>
        </w:rPr>
        <w:t>居住</w:t>
      </w:r>
      <w:r>
        <w:rPr>
          <w:rFonts w:hint="default" w:ascii="Times New Roman" w:hAnsi="Times New Roman" w:cs="Times New Roman"/>
          <w:color w:val="auto"/>
          <w:szCs w:val="32"/>
          <w:highlight w:val="none"/>
        </w:rPr>
        <w:t>小区垃圾分类成效</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健全再生资源回收网络布局</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建设可回收物分拣中心</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深化塑料污染全链条治理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限制塑料制品</w:t>
      </w:r>
      <w:r>
        <w:rPr>
          <w:rFonts w:hint="eastAsia" w:ascii="Times New Roman" w:hAnsi="Times New Roman" w:cs="Times New Roman"/>
          <w:color w:val="auto"/>
          <w:szCs w:val="32"/>
          <w:highlight w:val="none"/>
          <w:lang w:val="en-US" w:eastAsia="zh-CN"/>
        </w:rPr>
        <w:t>过度使用</w:t>
      </w:r>
      <w:r>
        <w:rPr>
          <w:rFonts w:hint="eastAsia" w:ascii="Times New Roman" w:hAnsi="Times New Roman" w:cs="Times New Roman"/>
          <w:color w:val="auto"/>
          <w:szCs w:val="32"/>
          <w:highlight w:val="none"/>
        </w:rPr>
        <w:t>。</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推动固体废物利用。</w:t>
      </w:r>
      <w:r>
        <w:rPr>
          <w:rFonts w:ascii="Times New Roman" w:hAnsi="Times New Roman" w:cs="Times New Roman"/>
          <w:color w:val="auto"/>
          <w:szCs w:val="32"/>
          <w:highlight w:val="none"/>
        </w:rPr>
        <w:t>制定固体废物资源化利用政策，建设区域性固体废物资源化利用项目，构建绿色供应链</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全面</w:t>
      </w:r>
      <w:r>
        <w:rPr>
          <w:rFonts w:hint="eastAsia" w:ascii="Times New Roman" w:hAnsi="Times New Roman" w:cs="Times New Roman"/>
          <w:color w:val="auto"/>
          <w:szCs w:val="32"/>
          <w:highlight w:val="none"/>
        </w:rPr>
        <w:t>推进</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无废城市</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建设，</w:t>
      </w:r>
      <w:r>
        <w:rPr>
          <w:rFonts w:hint="eastAsia" w:ascii="Times New Roman" w:hAnsi="Times New Roman" w:cs="Times New Roman"/>
          <w:color w:val="auto"/>
          <w:szCs w:val="32"/>
          <w:highlight w:val="none"/>
        </w:rPr>
        <w:t>固体废物产生强度明显下降</w:t>
      </w:r>
      <w:r>
        <w:rPr>
          <w:rFonts w:ascii="Times New Roman" w:hAnsi="Times New Roman" w:cs="Times New Roman"/>
          <w:color w:val="auto"/>
          <w:szCs w:val="32"/>
          <w:highlight w:val="none"/>
        </w:rPr>
        <w:t>。建设固体废物处理基础设施，满足企业危废暂存周转需求。在</w:t>
      </w:r>
      <w:r>
        <w:rPr>
          <w:rFonts w:hint="eastAsia" w:ascii="Times New Roman" w:hAnsi="Times New Roman" w:cs="Times New Roman"/>
          <w:color w:val="auto"/>
          <w:szCs w:val="32"/>
          <w:highlight w:val="none"/>
          <w:lang w:val="en-US" w:eastAsia="zh-CN"/>
        </w:rPr>
        <w:t>工业</w:t>
      </w:r>
      <w:r>
        <w:rPr>
          <w:rFonts w:ascii="Times New Roman" w:hAnsi="Times New Roman" w:cs="Times New Roman"/>
          <w:color w:val="auto"/>
          <w:szCs w:val="32"/>
          <w:highlight w:val="none"/>
        </w:rPr>
        <w:t>园区建设再生资源回收站点，优化收运路线，降低企业的运输和处置成本。</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加强</w:t>
      </w:r>
      <w:r>
        <w:rPr>
          <w:rFonts w:ascii="Times New Roman" w:hAnsi="Times New Roman" w:cs="Times New Roman"/>
          <w:b/>
          <w:bCs/>
          <w:color w:val="auto"/>
          <w:szCs w:val="32"/>
          <w:highlight w:val="none"/>
        </w:rPr>
        <w:t>危险废物监管。</w:t>
      </w:r>
      <w:r>
        <w:rPr>
          <w:rFonts w:ascii="Times New Roman" w:hAnsi="Times New Roman" w:cs="Times New Roman"/>
          <w:color w:val="auto"/>
          <w:szCs w:val="32"/>
          <w:highlight w:val="none"/>
        </w:rPr>
        <w:t>强化全过程闭环监管，</w:t>
      </w:r>
      <w:r>
        <w:rPr>
          <w:rFonts w:hint="default" w:ascii="Times New Roman" w:hAnsi="Times New Roman" w:cs="Times New Roman"/>
          <w:color w:val="auto"/>
          <w:szCs w:val="32"/>
          <w:highlight w:val="none"/>
        </w:rPr>
        <w:t>建立危险废物产生、收集、贮存、运输、处置动态监管系统。</w:t>
      </w:r>
      <w:r>
        <w:rPr>
          <w:rFonts w:ascii="Times New Roman" w:hAnsi="Times New Roman" w:cs="Times New Roman"/>
          <w:color w:val="auto"/>
          <w:szCs w:val="32"/>
          <w:highlight w:val="none"/>
        </w:rPr>
        <w:t>完善危险废物环境污染突发事件应急预案，推广危废分类、暂存管理经验。针对危险废物产生量较大的企业，设立专人联络机制，定期开展专项检查与帮扶，确保危险废物安全处置。</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强化化学品环境风险管控。</w:t>
      </w:r>
      <w:r>
        <w:rPr>
          <w:rFonts w:hint="eastAsia" w:ascii="Times New Roman" w:hAnsi="Times New Roman" w:cs="Times New Roman"/>
          <w:color w:val="auto"/>
          <w:szCs w:val="32"/>
          <w:highlight w:val="none"/>
          <w:lang w:val="en-US" w:eastAsia="zh-CN"/>
        </w:rPr>
        <w:t>加强</w:t>
      </w:r>
      <w:r>
        <w:rPr>
          <w:rFonts w:ascii="Times New Roman" w:hAnsi="Times New Roman" w:cs="Times New Roman"/>
          <w:color w:val="auto"/>
          <w:szCs w:val="32"/>
          <w:highlight w:val="none"/>
        </w:rPr>
        <w:t>化工、制药</w:t>
      </w:r>
      <w:r>
        <w:rPr>
          <w:rFonts w:hint="eastAsia" w:ascii="Times New Roman" w:hAnsi="Times New Roman" w:cs="Times New Roman"/>
          <w:color w:val="auto"/>
          <w:szCs w:val="32"/>
          <w:highlight w:val="none"/>
          <w:lang w:val="en-US" w:eastAsia="zh-CN"/>
        </w:rPr>
        <w:t>等</w:t>
      </w:r>
      <w:r>
        <w:rPr>
          <w:rFonts w:ascii="Times New Roman" w:hAnsi="Times New Roman" w:cs="Times New Roman"/>
          <w:color w:val="auto"/>
          <w:szCs w:val="32"/>
          <w:highlight w:val="none"/>
        </w:rPr>
        <w:t>重点行业的环境准入与清洁生产审核，对高风险化学品实施源头禁限、过程减排和绿色替代</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减少有毒有害化学物质的产生与排放。</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实施新污染物治理行动。</w:t>
      </w:r>
      <w:r>
        <w:rPr>
          <w:rFonts w:ascii="Times New Roman" w:hAnsi="Times New Roman" w:cs="Times New Roman"/>
          <w:color w:val="auto"/>
          <w:szCs w:val="32"/>
          <w:highlight w:val="none"/>
        </w:rPr>
        <w:t>加快构建新污染物治理体系，建立调查监测、风险评估与精准管控的联动机制。推进环境监测</w:t>
      </w:r>
      <w:r>
        <w:rPr>
          <w:rFonts w:hint="eastAsia" w:cs="Times New Roman"/>
          <w:color w:val="auto"/>
          <w:szCs w:val="32"/>
          <w:highlight w:val="none"/>
          <w:lang w:eastAsia="zh-CN"/>
        </w:rPr>
        <w:t>工作</w:t>
      </w:r>
      <w:r>
        <w:rPr>
          <w:rFonts w:ascii="Times New Roman" w:hAnsi="Times New Roman" w:cs="Times New Roman"/>
          <w:color w:val="auto"/>
          <w:szCs w:val="32"/>
          <w:highlight w:val="none"/>
        </w:rPr>
        <w:t>，动态发布重点管控新污染物清单，对新污染物实施分类施策、分级管控。</w:t>
      </w:r>
    </w:p>
    <w:p>
      <w:pPr>
        <w:pStyle w:val="4"/>
        <w:pageBreakBefore w:val="0"/>
        <w:wordWrap/>
        <w:overflowPunct/>
        <w:autoSpaceDE/>
        <w:autoSpaceDN/>
        <w:bidi w:val="0"/>
        <w:spacing w:line="530" w:lineRule="exact"/>
        <w:rPr>
          <w:color w:val="auto"/>
          <w:highlight w:val="none"/>
        </w:rPr>
      </w:pPr>
      <w:bookmarkStart w:id="464" w:name="_Toc1187285170"/>
      <w:bookmarkStart w:id="465" w:name="_Toc1809993112"/>
      <w:r>
        <w:rPr>
          <w:rFonts w:hint="eastAsia"/>
          <w:color w:val="auto"/>
          <w:highlight w:val="none"/>
          <w:lang w:val="en-US" w:eastAsia="zh-CN"/>
        </w:rPr>
        <w:t>强化噪声污染管制</w:t>
      </w:r>
      <w:bookmarkEnd w:id="464"/>
      <w:bookmarkEnd w:id="465"/>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ascii="Times New Roman" w:hAnsi="Times New Roman" w:cs="Times New Roman"/>
          <w:b/>
          <w:bCs/>
          <w:color w:val="auto"/>
          <w:szCs w:val="32"/>
          <w:highlight w:val="none"/>
        </w:rPr>
        <w:t>加强</w:t>
      </w:r>
      <w:r>
        <w:rPr>
          <w:rFonts w:hint="eastAsia" w:ascii="Times New Roman" w:hAnsi="Times New Roman" w:cs="Times New Roman"/>
          <w:b/>
          <w:bCs/>
          <w:color w:val="auto"/>
          <w:szCs w:val="32"/>
          <w:highlight w:val="none"/>
          <w:lang w:val="en-US" w:eastAsia="zh-CN"/>
        </w:rPr>
        <w:t>噪声污染防控</w:t>
      </w:r>
      <w:r>
        <w:rPr>
          <w:rFonts w:ascii="Times New Roman" w:hAnsi="Times New Roman" w:cs="Times New Roman"/>
          <w:b/>
          <w:bCs/>
          <w:color w:val="auto"/>
          <w:szCs w:val="32"/>
          <w:highlight w:val="none"/>
        </w:rPr>
        <w:t>。</w:t>
      </w:r>
      <w:r>
        <w:rPr>
          <w:rFonts w:hint="eastAsia" w:ascii="Times New Roman" w:hAnsi="Times New Roman" w:cs="Times New Roman"/>
          <w:color w:val="auto"/>
          <w:szCs w:val="32"/>
          <w:highlight w:val="none"/>
          <w:lang w:val="en-US" w:eastAsia="zh-CN"/>
        </w:rPr>
        <w:t>强化噪声源头管控，科学划定噪声敏感区域，落实声环境质量标准与民用建筑隔声设计标准等要求。推广低噪声施工工艺与设备，督促企业采取减振降噪措施。</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lang w:val="en-US" w:eastAsia="zh-CN"/>
        </w:rPr>
        <w:t>健全噪声监督职责。</w:t>
      </w:r>
      <w:r>
        <w:rPr>
          <w:rFonts w:hint="eastAsia" w:ascii="Times New Roman" w:hAnsi="Times New Roman" w:cs="Times New Roman"/>
          <w:color w:val="auto"/>
          <w:szCs w:val="32"/>
          <w:highlight w:val="none"/>
          <w:lang w:val="en-US" w:eastAsia="zh-CN"/>
        </w:rPr>
        <w:t>实施噪声污染防治行动，完善常态化联合执法机制。优化布局监测点位，对社会生活、建筑施工、工业生产、道路交通等重点领域噪声加强监管，明确各类噪声投诉的处置流程和时限要求。</w:t>
      </w:r>
    </w:p>
    <w:p>
      <w:pPr>
        <w:pStyle w:val="3"/>
        <w:pageBreakBefore w:val="0"/>
        <w:wordWrap/>
        <w:overflowPunct/>
        <w:autoSpaceDE/>
        <w:autoSpaceDN/>
        <w:bidi w:val="0"/>
        <w:spacing w:line="530" w:lineRule="exact"/>
        <w:rPr>
          <w:color w:val="auto"/>
          <w:highlight w:val="none"/>
        </w:rPr>
      </w:pPr>
      <w:bookmarkStart w:id="466" w:name="_Toc608727947"/>
      <w:bookmarkStart w:id="467" w:name="_Toc1448373629"/>
      <w:bookmarkStart w:id="468" w:name="_Toc283804266"/>
      <w:bookmarkStart w:id="469" w:name="_Toc1917587530"/>
      <w:bookmarkStart w:id="470" w:name="_Toc213520898"/>
      <w:r>
        <w:rPr>
          <w:color w:val="auto"/>
          <w:highlight w:val="none"/>
        </w:rPr>
        <w:t>系统实施生态保护</w:t>
      </w:r>
      <w:r>
        <w:rPr>
          <w:rFonts w:hint="eastAsia"/>
          <w:color w:val="auto"/>
          <w:highlight w:val="none"/>
          <w:lang w:val="en-US" w:eastAsia="zh-CN"/>
        </w:rPr>
        <w:t>和</w:t>
      </w:r>
      <w:r>
        <w:rPr>
          <w:color w:val="auto"/>
          <w:highlight w:val="none"/>
        </w:rPr>
        <w:t>修复</w:t>
      </w:r>
      <w:bookmarkEnd w:id="466"/>
      <w:bookmarkEnd w:id="467"/>
      <w:bookmarkEnd w:id="468"/>
      <w:bookmarkEnd w:id="469"/>
      <w:bookmarkEnd w:id="470"/>
    </w:p>
    <w:p>
      <w:pPr>
        <w:pStyle w:val="4"/>
        <w:pageBreakBefore w:val="0"/>
        <w:wordWrap/>
        <w:overflowPunct/>
        <w:autoSpaceDE/>
        <w:autoSpaceDN/>
        <w:bidi w:val="0"/>
        <w:spacing w:line="530" w:lineRule="exact"/>
        <w:rPr>
          <w:color w:val="auto"/>
          <w:highlight w:val="none"/>
        </w:rPr>
      </w:pPr>
      <w:bookmarkStart w:id="471" w:name="_Toc1088443858"/>
      <w:bookmarkStart w:id="472" w:name="_Toc337118675"/>
      <w:r>
        <w:rPr>
          <w:color w:val="auto"/>
          <w:highlight w:val="none"/>
        </w:rPr>
        <w:t>开展河湖生态修复</w:t>
      </w:r>
      <w:bookmarkEnd w:id="471"/>
      <w:bookmarkEnd w:id="472"/>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实施河湖系统治理。</w:t>
      </w:r>
      <w:r>
        <w:rPr>
          <w:rFonts w:ascii="Times New Roman" w:hAnsi="Times New Roman" w:cs="Times New Roman"/>
          <w:color w:val="auto"/>
          <w:szCs w:val="32"/>
          <w:highlight w:val="none"/>
        </w:rPr>
        <w:t>重点推进大谷家沟、三间沟、四间沟等水系生态缓冲带建设，开展河岸生态修复、水源涵养林建设，建设河流生态廊道，逐步恢复生态功能</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构建连贯的生态廊道和休闲绿廊。加快湖库湿地生态修复与功能提升，推进三间水库、同心湖、雁鸣湖等湖库生态修复，实施内源治理、水生植被恢复、生态消落带建设等工程，增强湖库水体流动性和自净能力，全面提升水源涵养、水质净化与景观游憩功能。</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加强河湖生态</w:t>
      </w:r>
      <w:r>
        <w:rPr>
          <w:rFonts w:ascii="Times New Roman" w:hAnsi="Times New Roman" w:cs="Times New Roman"/>
          <w:b/>
          <w:bCs/>
          <w:color w:val="auto"/>
          <w:szCs w:val="32"/>
          <w:highlight w:val="none"/>
        </w:rPr>
        <w:t>监测</w:t>
      </w:r>
      <w:r>
        <w:rPr>
          <w:rFonts w:hint="eastAsia" w:ascii="Times New Roman" w:hAnsi="Times New Roman" w:cs="Times New Roman"/>
          <w:b/>
          <w:bCs/>
          <w:color w:val="auto"/>
          <w:szCs w:val="32"/>
          <w:highlight w:val="none"/>
          <w:lang w:val="en-US" w:eastAsia="zh-CN"/>
        </w:rPr>
        <w:t>。</w:t>
      </w:r>
      <w:r>
        <w:rPr>
          <w:rFonts w:ascii="Times New Roman" w:hAnsi="Times New Roman" w:cs="Times New Roman"/>
          <w:color w:val="auto"/>
          <w:szCs w:val="32"/>
          <w:highlight w:val="none"/>
        </w:rPr>
        <w:t>在重点河湖、湖库及人工湿地进出口布设在线监测点位，对水量、水质、水生生物等关键指标进行实时监控，构建全区水生态环境“一张图”，为评估治理成效和科学决策提供数据支撑。深化“河长制”智慧化管理，提升河湖治理保护的精细化、智能化水平。</w:t>
      </w:r>
    </w:p>
    <w:p>
      <w:pPr>
        <w:pStyle w:val="4"/>
        <w:pageBreakBefore w:val="0"/>
        <w:wordWrap/>
        <w:overflowPunct/>
        <w:autoSpaceDE/>
        <w:autoSpaceDN/>
        <w:bidi w:val="0"/>
        <w:spacing w:line="530" w:lineRule="exact"/>
        <w:rPr>
          <w:color w:val="auto"/>
          <w:highlight w:val="none"/>
        </w:rPr>
      </w:pPr>
      <w:bookmarkStart w:id="473" w:name="_Toc891709939"/>
      <w:bookmarkStart w:id="474" w:name="_Toc1210216260"/>
      <w:r>
        <w:rPr>
          <w:color w:val="auto"/>
          <w:highlight w:val="none"/>
        </w:rPr>
        <w:t>加强水土流失治理</w:t>
      </w:r>
      <w:bookmarkEnd w:id="473"/>
      <w:bookmarkEnd w:id="474"/>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强化</w:t>
      </w:r>
      <w:r>
        <w:rPr>
          <w:rFonts w:ascii="Times New Roman" w:hAnsi="Times New Roman" w:cs="Times New Roman"/>
          <w:b/>
          <w:bCs/>
          <w:color w:val="auto"/>
          <w:szCs w:val="32"/>
          <w:highlight w:val="none"/>
        </w:rPr>
        <w:t>水土流失管控。</w:t>
      </w:r>
      <w:r>
        <w:rPr>
          <w:rFonts w:ascii="Times New Roman" w:hAnsi="Times New Roman" w:cs="Times New Roman"/>
          <w:color w:val="auto"/>
          <w:szCs w:val="32"/>
          <w:highlight w:val="none"/>
        </w:rPr>
        <w:t>强化城镇建设、道路管网、房地产等生产建设项目的全过程监管，严格落实水土保持措施，最大限度减少人为水土流失。对城市范围内的裸露地块、闲置土地、临时堆土场，采取临时覆盖、简易绿化等快速抑尘固土措施。</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开展水土保持修复。</w:t>
      </w:r>
      <w:r>
        <w:rPr>
          <w:rFonts w:ascii="Times New Roman" w:hAnsi="Times New Roman" w:cs="Times New Roman"/>
          <w:color w:val="auto"/>
          <w:szCs w:val="32"/>
          <w:highlight w:val="none"/>
        </w:rPr>
        <w:t>对缓坡耕地，推广等高耕作、条带间作等水土保持农业技术，建设坡面排水系统，减少面源污染和水土流失。提升植被覆盖度和水源涵养功能</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推广保护性耕作技术，采取地埂植物带、保土耕作等措施，配套截排水沟、田间道路整治等进行综合治理。</w:t>
      </w:r>
    </w:p>
    <w:p>
      <w:pPr>
        <w:pStyle w:val="4"/>
        <w:pageBreakBefore w:val="0"/>
        <w:wordWrap/>
        <w:overflowPunct/>
        <w:autoSpaceDE/>
        <w:autoSpaceDN/>
        <w:bidi w:val="0"/>
        <w:spacing w:line="530" w:lineRule="exact"/>
        <w:rPr>
          <w:color w:val="auto"/>
          <w:highlight w:val="none"/>
        </w:rPr>
      </w:pPr>
      <w:bookmarkStart w:id="475" w:name="_Toc1828056007"/>
      <w:bookmarkStart w:id="476" w:name="_Toc1287061083"/>
      <w:r>
        <w:rPr>
          <w:color w:val="auto"/>
          <w:highlight w:val="none"/>
        </w:rPr>
        <w:t>推动</w:t>
      </w:r>
      <w:r>
        <w:rPr>
          <w:rFonts w:hint="eastAsia"/>
          <w:color w:val="auto"/>
          <w:highlight w:val="none"/>
          <w:lang w:val="en-US" w:eastAsia="zh-CN"/>
        </w:rPr>
        <w:t>区域</w:t>
      </w:r>
      <w:r>
        <w:rPr>
          <w:color w:val="auto"/>
          <w:highlight w:val="none"/>
        </w:rPr>
        <w:t>水系连通</w:t>
      </w:r>
      <w:bookmarkEnd w:id="475"/>
      <w:bookmarkEnd w:id="476"/>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恢复河湖自然连通。</w:t>
      </w:r>
      <w:r>
        <w:rPr>
          <w:rFonts w:ascii="Times New Roman" w:hAnsi="Times New Roman" w:cs="Times New Roman"/>
          <w:color w:val="auto"/>
          <w:szCs w:val="32"/>
          <w:highlight w:val="none"/>
        </w:rPr>
        <w:t>以新凯河、串湖等骨干河道为重点，实施清淤疏浚、卡口拓宽工程，畅通水流主通道。加强与区外水系的生态联系。构建河湖连通体系</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形成</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外连、内补，防涝、排洪</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的水系连通空间格局。</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szCs w:val="32"/>
          <w:highlight w:val="none"/>
        </w:rPr>
        <w:t>优化水源统筹配置。</w:t>
      </w:r>
      <w:r>
        <w:rPr>
          <w:rFonts w:ascii="Times New Roman" w:hAnsi="Times New Roman" w:cs="Times New Roman"/>
          <w:color w:val="auto"/>
          <w:szCs w:val="32"/>
          <w:highlight w:val="none"/>
        </w:rPr>
        <w:t>建设必要的渠</w:t>
      </w:r>
      <w:r>
        <w:rPr>
          <w:rFonts w:hint="eastAsia" w:ascii="Times New Roman" w:hAnsi="Times New Roman" w:cs="Times New Roman"/>
          <w:color w:val="auto"/>
          <w:szCs w:val="32"/>
          <w:highlight w:val="none"/>
          <w:lang w:val="en-US" w:eastAsia="zh-CN"/>
        </w:rPr>
        <w:t>道</w:t>
      </w:r>
      <w:r>
        <w:rPr>
          <w:rFonts w:ascii="Times New Roman" w:hAnsi="Times New Roman" w:cs="Times New Roman"/>
          <w:color w:val="auto"/>
          <w:szCs w:val="32"/>
          <w:highlight w:val="none"/>
        </w:rPr>
        <w:t>、泵站等水利基础设施，构建互联互通区域水网体系。增强水资源时空调配能力，统筹调度地表水、再生水、雨水等资源，优先保障重点河湖生态基流。推进西郊、西新、合心、天嘉、翟家</w:t>
      </w:r>
      <w:r>
        <w:rPr>
          <w:rFonts w:ascii="Times New Roman" w:hAnsi="Times New Roman" w:cs="Times New Roman"/>
          <w:b w:val="0"/>
          <w:i w:val="0"/>
          <w:color w:val="auto"/>
          <w:szCs w:val="32"/>
          <w:highlight w:val="none"/>
        </w:rPr>
        <w:t>5</w:t>
      </w:r>
      <w:r>
        <w:rPr>
          <w:rFonts w:ascii="Times New Roman" w:hAnsi="Times New Roman" w:cs="Times New Roman"/>
          <w:color w:val="auto"/>
          <w:szCs w:val="32"/>
          <w:highlight w:val="none"/>
        </w:rPr>
        <w:t>家污水处理厂再生水用于生态补水，建设雨水调蓄设施，将雨洪资源化，实现从“排得快”向“用得好”转变，提升水资源战略储备与利用效率。</w:t>
      </w:r>
    </w:p>
    <w:p>
      <w:pPr>
        <w:pStyle w:val="4"/>
        <w:pageBreakBefore w:val="0"/>
        <w:wordWrap/>
        <w:overflowPunct/>
        <w:autoSpaceDE/>
        <w:autoSpaceDN/>
        <w:bidi w:val="0"/>
        <w:spacing w:line="530" w:lineRule="exact"/>
        <w:rPr>
          <w:color w:val="auto"/>
          <w:highlight w:val="none"/>
        </w:rPr>
      </w:pPr>
      <w:bookmarkStart w:id="477" w:name="_Toc88772020"/>
      <w:bookmarkStart w:id="478" w:name="_Toc32845750"/>
      <w:r>
        <w:rPr>
          <w:rFonts w:hint="eastAsia"/>
          <w:color w:val="auto"/>
          <w:highlight w:val="none"/>
          <w:lang w:val="en-US" w:eastAsia="zh-CN"/>
        </w:rPr>
        <w:t>推进农村生态治理</w:t>
      </w:r>
      <w:bookmarkEnd w:id="477"/>
      <w:bookmarkEnd w:id="478"/>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szCs w:val="32"/>
          <w:highlight w:val="none"/>
        </w:rPr>
        <w:t>深化村庄环境综合治理。</w:t>
      </w:r>
      <w:r>
        <w:rPr>
          <w:rFonts w:ascii="Times New Roman" w:hAnsi="Times New Roman" w:cs="Times New Roman"/>
          <w:color w:val="auto"/>
          <w:szCs w:val="32"/>
          <w:highlight w:val="none"/>
        </w:rPr>
        <w:t>农村生活垃圾收运处理体系基本实现全覆盖，不断推进农村生活垃圾分类和资源化利用，持续开展农村环卫保洁企业化运营工作，打造“全域覆盖、企业运作、干管分离”的农村环卫保洁模式。规模化畜禽养殖场（户）畜禽粪污处理设施配套率</w:t>
      </w:r>
      <w:r>
        <w:rPr>
          <w:rFonts w:ascii="Times New Roman" w:hAnsi="Times New Roman" w:cs="Times New Roman"/>
          <w:b w:val="0"/>
          <w:i w:val="0"/>
          <w:color w:val="auto"/>
          <w:szCs w:val="32"/>
          <w:highlight w:val="none"/>
        </w:rPr>
        <w:t>100</w:t>
      </w:r>
      <w:r>
        <w:rPr>
          <w:rFonts w:ascii="Times New Roman" w:hAnsi="Times New Roman" w:cs="Times New Roman"/>
          <w:color w:val="auto"/>
          <w:szCs w:val="32"/>
          <w:highlight w:val="none"/>
        </w:rPr>
        <w:t>%，全区畜禽粪污资源化利用率达到</w:t>
      </w:r>
      <w:r>
        <w:rPr>
          <w:rFonts w:ascii="Times New Roman" w:hAnsi="Times New Roman" w:cs="Times New Roman"/>
          <w:b w:val="0"/>
          <w:i w:val="0"/>
          <w:color w:val="auto"/>
          <w:szCs w:val="32"/>
          <w:highlight w:val="none"/>
        </w:rPr>
        <w:t>85</w:t>
      </w:r>
      <w:r>
        <w:rPr>
          <w:rFonts w:ascii="Times New Roman" w:hAnsi="Times New Roman" w:cs="Times New Roman"/>
          <w:color w:val="auto"/>
          <w:szCs w:val="32"/>
          <w:highlight w:val="none"/>
        </w:rPr>
        <w:t>%以上，秸秆综合利用率达到</w:t>
      </w:r>
      <w:r>
        <w:rPr>
          <w:rFonts w:ascii="Times New Roman" w:hAnsi="Times New Roman" w:cs="Times New Roman"/>
          <w:b w:val="0"/>
          <w:i w:val="0"/>
          <w:color w:val="auto"/>
          <w:szCs w:val="32"/>
          <w:highlight w:val="none"/>
        </w:rPr>
        <w:t>85</w:t>
      </w:r>
      <w:r>
        <w:rPr>
          <w:rFonts w:ascii="Times New Roman" w:hAnsi="Times New Roman" w:cs="Times New Roman"/>
          <w:color w:val="auto"/>
          <w:szCs w:val="32"/>
          <w:highlight w:val="none"/>
        </w:rPr>
        <w:t>%。</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eastAsia="zh-CN"/>
        </w:rPr>
      </w:pPr>
      <w:r>
        <w:rPr>
          <w:rFonts w:hint="eastAsia" w:ascii="Times New Roman" w:hAnsi="Times New Roman" w:cs="Times New Roman"/>
          <w:b/>
          <w:bCs/>
          <w:color w:val="auto"/>
          <w:szCs w:val="32"/>
          <w:highlight w:val="none"/>
          <w:lang w:val="en-US" w:eastAsia="zh-CN"/>
        </w:rPr>
        <w:t>提升农村生态治理水平。</w:t>
      </w:r>
      <w:r>
        <w:rPr>
          <w:rFonts w:ascii="Times New Roman" w:hAnsi="Times New Roman" w:cs="Times New Roman"/>
          <w:color w:val="auto"/>
          <w:szCs w:val="32"/>
          <w:highlight w:val="none"/>
        </w:rPr>
        <w:t>聚焦人居环境改善与生态系统修复，实施精细化管理</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开展乡村绿化美化行动，建设公共绿地</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保护乡村自然风貌，构建水清岸绿的宜居生态环境。</w:t>
      </w:r>
    </w:p>
    <w:p>
      <w:pPr>
        <w:pStyle w:val="3"/>
        <w:pageBreakBefore w:val="0"/>
        <w:wordWrap/>
        <w:overflowPunct/>
        <w:autoSpaceDE/>
        <w:autoSpaceDN/>
        <w:bidi w:val="0"/>
        <w:spacing w:line="530" w:lineRule="exact"/>
        <w:rPr>
          <w:color w:val="auto"/>
          <w:highlight w:val="none"/>
        </w:rPr>
      </w:pPr>
      <w:bookmarkStart w:id="479" w:name="_Toc28708"/>
      <w:bookmarkStart w:id="480" w:name="_Toc278510921"/>
      <w:bookmarkStart w:id="481" w:name="_Toc996453906"/>
      <w:bookmarkStart w:id="482" w:name="_Toc1637689122"/>
      <w:bookmarkStart w:id="483" w:name="_Toc135222971"/>
      <w:bookmarkStart w:id="484" w:name="_Toc913285725"/>
      <w:bookmarkStart w:id="485" w:name="_Toc1596305793"/>
      <w:bookmarkStart w:id="486" w:name="_Toc200558549"/>
      <w:bookmarkStart w:id="487" w:name="_Toc502872854"/>
      <w:bookmarkStart w:id="488" w:name="_Toc63692569"/>
      <w:bookmarkStart w:id="489" w:name="_Toc1606526181"/>
      <w:r>
        <w:rPr>
          <w:color w:val="auto"/>
          <w:highlight w:val="none"/>
        </w:rPr>
        <w:t>加快</w:t>
      </w:r>
      <w:r>
        <w:rPr>
          <w:rFonts w:hint="eastAsia"/>
          <w:color w:val="auto"/>
          <w:highlight w:val="none"/>
          <w:lang w:eastAsia="zh-CN"/>
        </w:rPr>
        <w:t>绿色低碳转型发展方式</w:t>
      </w:r>
      <w:bookmarkEnd w:id="479"/>
      <w:bookmarkEnd w:id="480"/>
      <w:bookmarkEnd w:id="481"/>
      <w:bookmarkEnd w:id="482"/>
      <w:bookmarkEnd w:id="483"/>
      <w:bookmarkEnd w:id="484"/>
      <w:bookmarkEnd w:id="485"/>
      <w:bookmarkEnd w:id="486"/>
      <w:bookmarkEnd w:id="487"/>
      <w:bookmarkEnd w:id="488"/>
      <w:bookmarkEnd w:id="489"/>
    </w:p>
    <w:p>
      <w:pPr>
        <w:pStyle w:val="4"/>
        <w:pageBreakBefore w:val="0"/>
        <w:wordWrap/>
        <w:overflowPunct/>
        <w:autoSpaceDE/>
        <w:autoSpaceDN/>
        <w:bidi w:val="0"/>
        <w:spacing w:line="530" w:lineRule="exact"/>
        <w:rPr>
          <w:color w:val="auto"/>
          <w:highlight w:val="none"/>
        </w:rPr>
      </w:pPr>
      <w:bookmarkStart w:id="490" w:name="_Toc654775071"/>
      <w:bookmarkStart w:id="491" w:name="_Toc343169855"/>
      <w:r>
        <w:rPr>
          <w:color w:val="auto"/>
          <w:highlight w:val="none"/>
        </w:rPr>
        <w:t>推进能源多元发展</w:t>
      </w:r>
      <w:bookmarkEnd w:id="490"/>
      <w:bookmarkEnd w:id="491"/>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lang w:val="en-US" w:eastAsia="zh-CN"/>
        </w:rPr>
        <w:t>优化能源供给结构。</w:t>
      </w:r>
      <w:r>
        <w:rPr>
          <w:rFonts w:hint="eastAsia" w:ascii="Times New Roman" w:hAnsi="Times New Roman" w:cs="Times New Roman"/>
          <w:color w:val="auto"/>
          <w:szCs w:val="32"/>
          <w:highlight w:val="none"/>
          <w:lang w:val="en-US" w:eastAsia="zh-CN"/>
        </w:rPr>
        <w:t>逐步降低传统能源比重，有序扩大可再生能源应用规模，形成多能互补的能源供应体系。加速风电、光伏等清洁能源的规模化部署，推动天然气与可再生能源融合发展，减少对单一能源的依赖。</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大力发展新能源利用。</w:t>
      </w:r>
      <w:r>
        <w:rPr>
          <w:rFonts w:ascii="Times New Roman" w:hAnsi="Times New Roman" w:cs="Times New Roman"/>
          <w:color w:val="auto"/>
          <w:szCs w:val="32"/>
          <w:highlight w:val="none"/>
        </w:rPr>
        <w:t>优化新型能源基础设施布局，积极规划布局纯电动汽车充换电设施、氢能加注站等新型基础设施，构建“互联网+”智慧能源供给设施体系，为新能源车辆的推广普及提供基础保障。</w:t>
      </w:r>
      <w:r>
        <w:rPr>
          <w:rFonts w:hint="eastAsia" w:ascii="Times New Roman" w:hAnsi="Times New Roman" w:cs="Times New Roman"/>
          <w:color w:val="auto"/>
          <w:szCs w:val="32"/>
          <w:highlight w:val="none"/>
          <w:lang w:val="en-US" w:eastAsia="zh-CN"/>
        </w:rPr>
        <w:t>利用</w:t>
      </w:r>
      <w:r>
        <w:rPr>
          <w:rFonts w:ascii="Times New Roman" w:hAnsi="Times New Roman" w:cs="Times New Roman"/>
          <w:color w:val="auto"/>
          <w:szCs w:val="32"/>
          <w:highlight w:val="none"/>
        </w:rPr>
        <w:t>园区、市政设施、公共建筑及住宅等屋顶与场地，大力发展“光伏+”工程，加快分布式光伏的普及应用。在污水处理厂、垃圾中转站等周边区域，开发地热能、空气源热泵等可再生能源。</w:t>
      </w:r>
    </w:p>
    <w:p>
      <w:pPr>
        <w:pStyle w:val="4"/>
        <w:pageBreakBefore w:val="0"/>
        <w:wordWrap/>
        <w:overflowPunct/>
        <w:autoSpaceDE/>
        <w:autoSpaceDN/>
        <w:bidi w:val="0"/>
        <w:spacing w:line="530" w:lineRule="exact"/>
        <w:rPr>
          <w:color w:val="auto"/>
          <w:highlight w:val="none"/>
        </w:rPr>
      </w:pPr>
      <w:bookmarkStart w:id="492" w:name="_Toc1662160790"/>
      <w:bookmarkStart w:id="493" w:name="_Toc1098411069"/>
      <w:r>
        <w:rPr>
          <w:color w:val="auto"/>
          <w:highlight w:val="none"/>
        </w:rPr>
        <w:t>推动产业绿色发展</w:t>
      </w:r>
      <w:bookmarkEnd w:id="492"/>
      <w:bookmarkEnd w:id="493"/>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培育绿色低碳企业。</w:t>
      </w:r>
      <w:r>
        <w:rPr>
          <w:rFonts w:hint="eastAsia" w:ascii="Times New Roman" w:hAnsi="Times New Roman" w:cs="Times New Roman"/>
          <w:color w:val="auto"/>
          <w:szCs w:val="32"/>
          <w:highlight w:val="none"/>
          <w:lang w:val="en-US" w:eastAsia="zh-CN"/>
        </w:rPr>
        <w:t>推进制造业绿色转型，新增省级绿色工厂和绿色供应链管理企业若干户。加快人工智能等新技术在工业领域的创新应用，开展绿色工厂、绿色供应链试点建设。大力发展新能源汽车销售、环保服务产业、资源循环利用等相关产业，推动形成一批具有示范效应的绿色低碳产业集群。</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推广绿色低碳项目</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完善</w:t>
      </w:r>
      <w:r>
        <w:rPr>
          <w:rFonts w:ascii="Times New Roman" w:hAnsi="Times New Roman" w:cs="Times New Roman"/>
          <w:color w:val="auto"/>
          <w:szCs w:val="32"/>
          <w:highlight w:val="none"/>
        </w:rPr>
        <w:t>绿色低碳项目培育机制</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引导社会资本参与绿色能源、循环经济、污染治理等项目建设。聚焦工业、建筑、交通等领域，</w:t>
      </w:r>
      <w:r>
        <w:rPr>
          <w:rFonts w:hint="eastAsia" w:ascii="Times New Roman" w:hAnsi="Times New Roman" w:cs="Times New Roman"/>
          <w:color w:val="auto"/>
          <w:szCs w:val="32"/>
          <w:highlight w:val="none"/>
          <w:lang w:val="en-US" w:eastAsia="zh-CN"/>
        </w:rPr>
        <w:t>推进</w:t>
      </w:r>
      <w:r>
        <w:rPr>
          <w:rFonts w:ascii="Times New Roman" w:hAnsi="Times New Roman" w:cs="Times New Roman"/>
          <w:color w:val="auto"/>
          <w:szCs w:val="32"/>
          <w:highlight w:val="none"/>
        </w:rPr>
        <w:t>园区循环改造、公共建筑节能、新能源汽车充电网络建设等项目建设。</w:t>
      </w:r>
    </w:p>
    <w:p>
      <w:pPr>
        <w:pStyle w:val="4"/>
        <w:pageBreakBefore w:val="0"/>
        <w:wordWrap/>
        <w:overflowPunct/>
        <w:autoSpaceDE/>
        <w:autoSpaceDN/>
        <w:bidi w:val="0"/>
        <w:spacing w:line="530" w:lineRule="exact"/>
        <w:rPr>
          <w:color w:val="auto"/>
          <w:highlight w:val="none"/>
        </w:rPr>
      </w:pPr>
      <w:bookmarkStart w:id="494" w:name="_Toc1469117354"/>
      <w:bookmarkStart w:id="495" w:name="_Toc1225407071"/>
      <w:r>
        <w:rPr>
          <w:color w:val="auto"/>
          <w:highlight w:val="none"/>
        </w:rPr>
        <w:t>实施节能减排降耗</w:t>
      </w:r>
      <w:bookmarkEnd w:id="494"/>
      <w:bookmarkEnd w:id="495"/>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szCs w:val="32"/>
          <w:highlight w:val="none"/>
        </w:rPr>
        <w:t>加速低碳清洁能源转型。</w:t>
      </w:r>
      <w:r>
        <w:rPr>
          <w:rFonts w:ascii="Times New Roman" w:hAnsi="Times New Roman" w:cs="Times New Roman"/>
          <w:color w:val="auto"/>
          <w:szCs w:val="32"/>
          <w:highlight w:val="none"/>
        </w:rPr>
        <w:t>以燃煤减量化和清洁化为核心，推进散煤治理与集中供热设施建设，加快淘汰</w:t>
      </w:r>
      <w:r>
        <w:rPr>
          <w:rFonts w:ascii="Times New Roman" w:hAnsi="Times New Roman" w:cs="Times New Roman"/>
          <w:b w:val="0"/>
          <w:i w:val="0"/>
          <w:color w:val="auto"/>
          <w:szCs w:val="32"/>
          <w:highlight w:val="none"/>
        </w:rPr>
        <w:t>2</w:t>
      </w:r>
      <w:r>
        <w:rPr>
          <w:rFonts w:ascii="Times New Roman" w:hAnsi="Times New Roman" w:cs="Times New Roman"/>
          <w:color w:val="auto"/>
          <w:szCs w:val="32"/>
          <w:highlight w:val="none"/>
        </w:rPr>
        <w:t>吨以下生物质小锅炉，实施燃气锅炉低氮改造，有效削减颗粒物、二氧化硫和氮氧化物排放。推动能源结构绿色转型，扩大燃气管网覆盖面，为农村地区企业“生物质改气”创造条件，助力城乡能源清洁化协同推进。</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rPr>
        <w:t>完善</w:t>
      </w:r>
      <w:r>
        <w:rPr>
          <w:rFonts w:hint="eastAsia" w:ascii="Times New Roman" w:hAnsi="Times New Roman" w:cs="Times New Roman"/>
          <w:b/>
          <w:bCs/>
          <w:color w:val="auto"/>
          <w:szCs w:val="32"/>
          <w:highlight w:val="none"/>
          <w:lang w:val="en-US" w:eastAsia="zh-CN"/>
        </w:rPr>
        <w:t>落实“</w:t>
      </w:r>
      <w:r>
        <w:rPr>
          <w:rFonts w:hint="eastAsia" w:ascii="Times New Roman" w:hAnsi="Times New Roman" w:cs="Times New Roman"/>
          <w:b/>
          <w:bCs/>
          <w:color w:val="auto"/>
          <w:szCs w:val="32"/>
          <w:highlight w:val="none"/>
        </w:rPr>
        <w:t>双碳</w:t>
      </w:r>
      <w:r>
        <w:rPr>
          <w:rFonts w:hint="eastAsia" w:ascii="Times New Roman" w:hAnsi="Times New Roman" w:cs="Times New Roman"/>
          <w:b/>
          <w:bCs/>
          <w:color w:val="auto"/>
          <w:szCs w:val="32"/>
          <w:highlight w:val="none"/>
          <w:lang w:val="en-US" w:eastAsia="zh-CN"/>
        </w:rPr>
        <w:t>”</w:t>
      </w:r>
      <w:r>
        <w:rPr>
          <w:rFonts w:hint="eastAsia" w:ascii="Times New Roman" w:hAnsi="Times New Roman" w:cs="Times New Roman"/>
          <w:b/>
          <w:bCs/>
          <w:color w:val="auto"/>
          <w:szCs w:val="32"/>
          <w:highlight w:val="none"/>
        </w:rPr>
        <w:t>工作机制</w:t>
      </w:r>
      <w:r>
        <w:rPr>
          <w:rFonts w:hint="eastAsia" w:ascii="Times New Roman" w:hAnsi="Times New Roman" w:cs="Times New Roman"/>
          <w:b/>
          <w:bCs/>
          <w:color w:val="auto"/>
          <w:szCs w:val="32"/>
          <w:highlight w:val="none"/>
          <w:lang w:eastAsia="zh-CN"/>
        </w:rPr>
        <w:t>。</w:t>
      </w:r>
      <w:r>
        <w:rPr>
          <w:rFonts w:hint="eastAsia" w:ascii="Times New Roman" w:hAnsi="Times New Roman" w:cs="Times New Roman"/>
          <w:color w:val="auto"/>
          <w:szCs w:val="32"/>
          <w:highlight w:val="none"/>
          <w:lang w:val="en-US" w:eastAsia="zh-CN"/>
        </w:rPr>
        <w:t>建立</w:t>
      </w:r>
      <w:r>
        <w:rPr>
          <w:rFonts w:hint="default" w:ascii="Times New Roman" w:hAnsi="Times New Roman" w:cs="Times New Roman"/>
          <w:color w:val="auto"/>
          <w:szCs w:val="32"/>
          <w:highlight w:val="none"/>
        </w:rPr>
        <w:t>区级</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双碳</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工作领导机制，系统推进碳排放统计核算工作，逐年编制温室气体清单。支持重点行业和领域绿色低碳转型，积极培育本地碳减排项目，主动参与全国碳排放权交易市场</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完善碳排放权交易机制</w:t>
      </w:r>
      <w:r>
        <w:rPr>
          <w:rFonts w:hint="eastAsia" w:ascii="Times New Roman" w:hAnsi="Times New Roman" w:cs="Times New Roman"/>
          <w:color w:val="auto"/>
          <w:szCs w:val="32"/>
          <w:highlight w:val="none"/>
          <w:lang w:eastAsia="zh-CN"/>
        </w:rPr>
        <w:t>。</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ascii="Times New Roman" w:hAnsi="Times New Roman" w:cs="Times New Roman"/>
          <w:b/>
          <w:bCs/>
          <w:color w:val="auto"/>
          <w:szCs w:val="32"/>
          <w:highlight w:val="none"/>
        </w:rPr>
        <w:t>推进</w:t>
      </w:r>
      <w:r>
        <w:rPr>
          <w:rFonts w:hint="default" w:ascii="Times New Roman" w:hAnsi="Times New Roman" w:cs="Times New Roman"/>
          <w:b/>
          <w:bCs/>
          <w:color w:val="auto"/>
          <w:szCs w:val="32"/>
          <w:highlight w:val="none"/>
        </w:rPr>
        <w:t>减污降碳协同增效</w:t>
      </w:r>
      <w:r>
        <w:rPr>
          <w:rFonts w:hint="eastAsia" w:ascii="Times New Roman" w:hAnsi="Times New Roman" w:cs="Times New Roman"/>
          <w:b/>
          <w:bCs/>
          <w:color w:val="auto"/>
          <w:szCs w:val="32"/>
          <w:highlight w:val="none"/>
          <w:lang w:eastAsia="zh-CN"/>
        </w:rPr>
        <w:t>。</w:t>
      </w:r>
      <w:r>
        <w:rPr>
          <w:rFonts w:ascii="Times New Roman" w:hAnsi="Times New Roman" w:cs="Times New Roman"/>
          <w:color w:val="auto"/>
          <w:szCs w:val="32"/>
          <w:highlight w:val="none"/>
        </w:rPr>
        <w:t>全面推进能源、工业、交通、城建、农业、生态等重点领域减污降碳协同</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聚焦</w:t>
      </w:r>
      <w:r>
        <w:rPr>
          <w:rFonts w:hint="eastAsia" w:ascii="Times New Roman" w:hAnsi="Times New Roman" w:cs="Times New Roman"/>
          <w:color w:val="auto"/>
          <w:szCs w:val="32"/>
          <w:highlight w:val="none"/>
          <w:lang w:val="en-US" w:eastAsia="zh-CN"/>
        </w:rPr>
        <w:t>产业升级</w:t>
      </w:r>
      <w:r>
        <w:rPr>
          <w:rFonts w:ascii="Times New Roman" w:hAnsi="Times New Roman" w:cs="Times New Roman"/>
          <w:color w:val="auto"/>
          <w:szCs w:val="32"/>
          <w:highlight w:val="none"/>
        </w:rPr>
        <w:t>、清洁</w:t>
      </w:r>
      <w:r>
        <w:rPr>
          <w:rFonts w:hint="eastAsia" w:ascii="Times New Roman" w:hAnsi="Times New Roman" w:cs="Times New Roman"/>
          <w:color w:val="auto"/>
          <w:szCs w:val="32"/>
          <w:highlight w:val="none"/>
          <w:lang w:val="en-US" w:eastAsia="zh-CN"/>
        </w:rPr>
        <w:t>能源</w:t>
      </w:r>
      <w:r>
        <w:rPr>
          <w:rFonts w:ascii="Times New Roman" w:hAnsi="Times New Roman" w:cs="Times New Roman"/>
          <w:color w:val="auto"/>
          <w:szCs w:val="32"/>
          <w:highlight w:val="none"/>
        </w:rPr>
        <w:t>替代等关键环节寻求突破。</w:t>
      </w:r>
      <w:r>
        <w:rPr>
          <w:rFonts w:hint="eastAsia" w:ascii="Times New Roman" w:hAnsi="Times New Roman" w:cs="Times New Roman"/>
          <w:color w:val="auto"/>
          <w:szCs w:val="32"/>
          <w:highlight w:val="none"/>
          <w:lang w:val="en-US" w:eastAsia="zh-CN"/>
        </w:rPr>
        <w:t>在装备制造</w:t>
      </w:r>
      <w:r>
        <w:rPr>
          <w:rFonts w:ascii="Times New Roman" w:hAnsi="Times New Roman" w:cs="Times New Roman"/>
          <w:color w:val="auto"/>
          <w:szCs w:val="32"/>
          <w:highlight w:val="none"/>
        </w:rPr>
        <w:t>、化工</w:t>
      </w:r>
      <w:r>
        <w:rPr>
          <w:rFonts w:hint="eastAsia" w:ascii="Times New Roman" w:hAnsi="Times New Roman" w:cs="Times New Roman"/>
          <w:color w:val="auto"/>
          <w:szCs w:val="32"/>
          <w:highlight w:val="none"/>
          <w:lang w:val="en-US" w:eastAsia="zh-CN"/>
        </w:rPr>
        <w:t>材料</w:t>
      </w:r>
      <w:r>
        <w:rPr>
          <w:rFonts w:ascii="Times New Roman" w:hAnsi="Times New Roman" w:cs="Times New Roman"/>
          <w:color w:val="auto"/>
          <w:szCs w:val="32"/>
          <w:highlight w:val="none"/>
        </w:rPr>
        <w:t>等重点行业实施节能降碳</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推行清洁生产</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提升资源能源利用效率，实现污染物和碳排放的双重削减。</w:t>
      </w:r>
    </w:p>
    <w:p>
      <w:pPr>
        <w:pStyle w:val="4"/>
        <w:pageBreakBefore w:val="0"/>
        <w:wordWrap/>
        <w:overflowPunct/>
        <w:autoSpaceDE/>
        <w:autoSpaceDN/>
        <w:bidi w:val="0"/>
        <w:spacing w:line="530" w:lineRule="exact"/>
        <w:rPr>
          <w:color w:val="auto"/>
          <w:highlight w:val="none"/>
        </w:rPr>
      </w:pPr>
      <w:bookmarkStart w:id="496" w:name="_Toc1835879119"/>
      <w:bookmarkStart w:id="497" w:name="_Toc1048467567"/>
      <w:r>
        <w:rPr>
          <w:color w:val="auto"/>
          <w:highlight w:val="none"/>
        </w:rPr>
        <w:t>践行绿色生活方式</w:t>
      </w:r>
      <w:bookmarkEnd w:id="496"/>
      <w:bookmarkEnd w:id="497"/>
    </w:p>
    <w:p>
      <w:pPr>
        <w:pStyle w:val="19"/>
        <w:pageBreakBefore w:val="0"/>
        <w:wordWrap/>
        <w:overflowPunct/>
        <w:autoSpaceDE/>
        <w:autoSpaceDN/>
        <w:bidi w:val="0"/>
        <w:spacing w:line="530" w:lineRule="exact"/>
        <w:ind w:firstLine="643"/>
        <w:rPr>
          <w:rFonts w:hint="default" w:ascii="Times New Roman" w:hAnsi="Times New Roman" w:cs="Times New Roman"/>
          <w:b/>
          <w:bCs/>
          <w:color w:val="auto"/>
          <w:szCs w:val="32"/>
          <w:highlight w:val="none"/>
        </w:rPr>
      </w:pPr>
      <w:r>
        <w:rPr>
          <w:rFonts w:ascii="Times New Roman" w:hAnsi="Times New Roman" w:cs="Times New Roman"/>
          <w:b/>
          <w:bCs/>
          <w:color w:val="auto"/>
          <w:szCs w:val="32"/>
          <w:highlight w:val="none"/>
        </w:rPr>
        <w:t>推广绿色生活方式。</w:t>
      </w:r>
      <w:r>
        <w:rPr>
          <w:rFonts w:hint="eastAsia" w:ascii="Times New Roman" w:hAnsi="Times New Roman" w:cs="Times New Roman"/>
          <w:color w:val="auto"/>
          <w:szCs w:val="32"/>
          <w:highlight w:val="none"/>
        </w:rPr>
        <w:t>开展绿色低碳社会创建活动，营造绿色低碳生活，着力推进绿色消费，倡导绿色低碳生活方式，鼓励居民使用节能节水产品。</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加大绿色产品供给。</w:t>
      </w:r>
      <w:r>
        <w:rPr>
          <w:rFonts w:ascii="Times New Roman" w:hAnsi="Times New Roman" w:cs="Times New Roman"/>
          <w:color w:val="auto"/>
          <w:szCs w:val="32"/>
          <w:highlight w:val="none"/>
        </w:rPr>
        <w:t>引导企业开展绿色设计、选择绿色材料、推行绿色制造、采用绿色包装、开展绿色运输、回收利用资源，建立健全绿色产品生产标准规范，加强绿色产品认证</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标识体系建设和服务管理。</w:t>
      </w:r>
    </w:p>
    <w:p>
      <w:pPr>
        <w:pStyle w:val="19"/>
        <w:pageBreakBefore w:val="0"/>
        <w:wordWrap/>
        <w:overflowPunct/>
        <w:autoSpaceDE/>
        <w:autoSpaceDN/>
        <w:bidi w:val="0"/>
        <w:spacing w:line="530" w:lineRule="exact"/>
        <w:rPr>
          <w:color w:val="auto"/>
          <w:highlight w:val="none"/>
        </w:rPr>
      </w:pPr>
      <w:r>
        <w:rPr>
          <w:b/>
          <w:bCs/>
          <w:color w:val="auto"/>
          <w:highlight w:val="none"/>
        </w:rPr>
        <w:t>增强全民生态意识。</w:t>
      </w:r>
      <w:r>
        <w:rPr>
          <w:color w:val="auto"/>
          <w:highlight w:val="none"/>
        </w:rPr>
        <w:t>以“教育+实践+传播”为路径，将低碳理念融入教学体系，建设科普基地与互动平台，通过多媒介宣传引导公众参与，形成政府、企业、社会协同推进的生态文明共建格局。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sz w:val="24"/>
                <w:szCs w:val="32"/>
                <w:highlight w:val="none"/>
              </w:rPr>
            </w:pPr>
            <w:r>
              <w:rPr>
                <w:color w:val="auto"/>
                <w:highlight w:val="none"/>
              </w:rPr>
              <w:t xml:space="preserve">专栏 </w:t>
            </w:r>
            <w:r>
              <w:rPr>
                <w:rFonts w:hint="eastAsia"/>
                <w:color w:val="auto"/>
                <w:highlight w:val="none"/>
                <w:lang w:val="en-US" w:eastAsia="zh-CN"/>
              </w:rPr>
              <w:t>7</w:t>
            </w:r>
            <w:r>
              <w:rPr>
                <w:color w:val="auto"/>
                <w:highlight w:val="none"/>
              </w:rPr>
              <w:t>生态环境保护重点项目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color w:val="auto"/>
                <w:highlight w:val="none"/>
              </w:rPr>
              <w:t>.污染防治综合整治</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开展秸秆禁烧综合治理，推进绿园工业园区清洁化改造，加快实施新凯河流域大谷家沟、三间沟、四间沟、民丰沟等水体治理工程，推进雨污分流管网改造工程。</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2</w:t>
            </w:r>
            <w:r>
              <w:rPr>
                <w:color w:val="auto"/>
                <w:highlight w:val="none"/>
              </w:rPr>
              <w:t>.生态保护修复工程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实施新凯河</w:t>
            </w:r>
            <w:r>
              <w:rPr>
                <w:rFonts w:hint="eastAsia"/>
                <w:color w:val="auto"/>
                <w:highlight w:val="none"/>
                <w:lang w:eastAsia="zh-CN"/>
              </w:rPr>
              <w:t>、</w:t>
            </w:r>
            <w:r>
              <w:rPr>
                <w:rFonts w:ascii="Times New Roman" w:hAnsi="Times New Roman" w:cs="Times New Roman"/>
                <w:color w:val="auto"/>
                <w:szCs w:val="32"/>
                <w:highlight w:val="none"/>
              </w:rPr>
              <w:t>大谷家沟、三间沟、四间沟</w:t>
            </w:r>
            <w:r>
              <w:rPr>
                <w:color w:val="auto"/>
                <w:highlight w:val="none"/>
              </w:rPr>
              <w:t>生态修复、生态廊道建设工程，加快湖库湿地生态修复与功能提升，推进三间水库、同心湖、雁鸣湖等湖库生态修复。</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3</w:t>
            </w:r>
            <w:r>
              <w:rPr>
                <w:color w:val="auto"/>
                <w:highlight w:val="none"/>
              </w:rPr>
              <w:t>.绿色低碳工程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优化新型能源基础设施布局，积极规划布局纯电动汽车充换电设施、氢能加注站等新型基础设施，大力发展新能源汽车销售、环保服务产业、资源循环利用相关产业。</w:t>
            </w:r>
          </w:p>
        </w:tc>
      </w:tr>
      <w:bookmarkEnd w:id="450"/>
      <w:bookmarkEnd w:id="451"/>
      <w:bookmarkEnd w:id="452"/>
      <w:bookmarkEnd w:id="453"/>
      <w:bookmarkEnd w:id="454"/>
      <w:bookmarkEnd w:id="455"/>
    </w:tbl>
    <w:p>
      <w:pPr>
        <w:pStyle w:val="19"/>
        <w:pageBreakBefore w:val="0"/>
        <w:wordWrap/>
        <w:overflowPunct/>
        <w:autoSpaceDE/>
        <w:autoSpaceDN/>
        <w:bidi w:val="0"/>
        <w:spacing w:line="530" w:lineRule="exact"/>
        <w:ind w:left="0" w:leftChars="0" w:firstLine="0" w:firstLineChars="0"/>
        <w:rPr>
          <w:rFonts w:hint="eastAsia"/>
          <w:color w:val="auto"/>
          <w:highlight w:val="none"/>
        </w:rPr>
      </w:pPr>
    </w:p>
    <w:p>
      <w:pPr>
        <w:pStyle w:val="2"/>
        <w:pageBreakBefore w:val="0"/>
        <w:wordWrap/>
        <w:overflowPunct/>
        <w:autoSpaceDE/>
        <w:autoSpaceDN/>
        <w:bidi w:val="0"/>
        <w:spacing w:line="530" w:lineRule="exact"/>
        <w:rPr>
          <w:rFonts w:hint="eastAsia"/>
          <w:color w:val="auto"/>
          <w:highlight w:val="none"/>
        </w:rPr>
        <w:sectPr>
          <w:pgSz w:w="11906" w:h="16838"/>
          <w:pgMar w:top="1440" w:right="1800" w:bottom="1440" w:left="1800" w:header="720" w:footer="720" w:gutter="0"/>
          <w:pgNumType w:fmt="decimal"/>
          <w:cols w:space="425" w:num="1"/>
          <w:docGrid w:type="lines" w:linePitch="312" w:charSpace="0"/>
        </w:sectPr>
      </w:pPr>
      <w:bookmarkStart w:id="498" w:name="_Toc64025012"/>
      <w:bookmarkStart w:id="499" w:name="_Toc1452171586"/>
      <w:bookmarkStart w:id="500" w:name="_Toc1435906233"/>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501" w:name="_Toc1509738895"/>
      <w:bookmarkStart w:id="502" w:name="_Toc1313153365"/>
      <w:bookmarkStart w:id="503" w:name="_Toc1994288232"/>
      <w:bookmarkStart w:id="504" w:name="_Toc950965769"/>
      <w:bookmarkStart w:id="505" w:name="_Toc1121106959"/>
      <w:r>
        <w:rPr>
          <w:rFonts w:hint="eastAsia" w:ascii="方正小标宋简体" w:hAnsi="方正小标宋简体" w:eastAsia="方正小标宋简体" w:cs="方正小标宋简体"/>
          <w:color w:val="auto"/>
          <w:highlight w:val="none"/>
        </w:rPr>
        <w:t>赓续增进民生福祉，创建宜居宜业幸福城区</w:t>
      </w:r>
      <w:bookmarkEnd w:id="498"/>
      <w:bookmarkEnd w:id="499"/>
      <w:bookmarkEnd w:id="500"/>
      <w:bookmarkEnd w:id="501"/>
      <w:bookmarkEnd w:id="502"/>
      <w:bookmarkEnd w:id="503"/>
      <w:bookmarkEnd w:id="504"/>
      <w:bookmarkEnd w:id="505"/>
    </w:p>
    <w:p>
      <w:pPr>
        <w:pStyle w:val="19"/>
        <w:pageBreakBefore w:val="0"/>
        <w:wordWrap/>
        <w:overflowPunct/>
        <w:autoSpaceDE/>
        <w:autoSpaceDN/>
        <w:bidi w:val="0"/>
        <w:spacing w:line="530" w:lineRule="exact"/>
        <w:rPr>
          <w:rFonts w:hint="eastAsia"/>
          <w:color w:val="auto"/>
          <w:highlight w:val="none"/>
        </w:rPr>
      </w:pPr>
      <w:r>
        <w:rPr>
          <w:color w:val="auto"/>
          <w:highlight w:val="none"/>
          <w:lang w:val="en-US" w:eastAsia="zh-CN"/>
        </w:rPr>
        <w:t>绿园区将系统推进城市更新行动与花园城区建设，全面改善人居环境，强化公共服务、就业增收与社会保障，构建宜居、韧性、智慧的城市发展新格局，持续提升居民</w:t>
      </w:r>
      <w:r>
        <w:rPr>
          <w:rFonts w:hint="eastAsia"/>
          <w:color w:val="auto"/>
          <w:highlight w:val="none"/>
          <w:lang w:val="en-US" w:eastAsia="zh-CN"/>
        </w:rPr>
        <w:t>获得感、幸福感、安全感</w:t>
      </w:r>
      <w:r>
        <w:rPr>
          <w:color w:val="auto"/>
          <w:highlight w:val="none"/>
          <w:lang w:val="en-US" w:eastAsia="zh-CN"/>
        </w:rPr>
        <w:t>。</w:t>
      </w:r>
    </w:p>
    <w:p>
      <w:pPr>
        <w:pStyle w:val="3"/>
        <w:pageBreakBefore w:val="0"/>
        <w:wordWrap/>
        <w:overflowPunct/>
        <w:autoSpaceDE/>
        <w:autoSpaceDN/>
        <w:bidi w:val="0"/>
        <w:spacing w:line="530" w:lineRule="exact"/>
        <w:rPr>
          <w:color w:val="auto"/>
          <w:highlight w:val="none"/>
        </w:rPr>
      </w:pPr>
      <w:bookmarkStart w:id="506" w:name="_Toc77552848"/>
      <w:bookmarkStart w:id="507" w:name="_Toc1662318960"/>
      <w:bookmarkStart w:id="508" w:name="_Toc479165336"/>
      <w:bookmarkStart w:id="509" w:name="_Toc423141135"/>
      <w:bookmarkStart w:id="510" w:name="_Toc1308378609"/>
      <w:bookmarkStart w:id="511" w:name="_Toc2002316692"/>
      <w:bookmarkStart w:id="512" w:name="_Toc179069537"/>
      <w:bookmarkStart w:id="513" w:name="_Toc496197747"/>
      <w:r>
        <w:rPr>
          <w:rFonts w:hint="eastAsia"/>
          <w:color w:val="auto"/>
          <w:highlight w:val="none"/>
          <w:lang w:val="en-US" w:eastAsia="zh-CN"/>
        </w:rPr>
        <w:t>全面实施城市更新行动</w:t>
      </w:r>
      <w:bookmarkEnd w:id="506"/>
      <w:bookmarkEnd w:id="507"/>
      <w:bookmarkEnd w:id="508"/>
      <w:bookmarkEnd w:id="509"/>
      <w:bookmarkEnd w:id="510"/>
    </w:p>
    <w:p>
      <w:pPr>
        <w:pStyle w:val="4"/>
        <w:pageBreakBefore w:val="0"/>
        <w:wordWrap/>
        <w:overflowPunct/>
        <w:autoSpaceDE/>
        <w:autoSpaceDN/>
        <w:bidi w:val="0"/>
        <w:spacing w:line="530" w:lineRule="exact"/>
        <w:rPr>
          <w:color w:val="auto"/>
          <w:highlight w:val="none"/>
        </w:rPr>
      </w:pPr>
      <w:bookmarkStart w:id="514" w:name="_Toc1979996897"/>
      <w:bookmarkStart w:id="515" w:name="_Toc268125902"/>
      <w:r>
        <w:rPr>
          <w:color w:val="auto"/>
          <w:highlight w:val="none"/>
        </w:rPr>
        <w:t>加强既有建筑改造利用</w:t>
      </w:r>
      <w:bookmarkEnd w:id="514"/>
      <w:bookmarkEnd w:id="51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推进危险住房改造。</w:t>
      </w:r>
      <w:r>
        <w:rPr>
          <w:rFonts w:ascii="Times New Roman" w:hAnsi="Times New Roman" w:cs="Times New Roman"/>
          <w:color w:val="auto"/>
          <w:szCs w:val="32"/>
          <w:highlight w:val="none"/>
        </w:rPr>
        <w:t>对全区危险住房进行定期安全普查和动态监测，建立“一楼一档”危房数据库，实现信息化、动态化管理。对结构存在隐患但具有保留价值的建筑，组织专业机构进行加固设计施工，消除安全隐患。将危房集中区域纳入绿园区城市更新单元，与周边环境整治、基础设施完善、公共服务配套同步</w:t>
      </w:r>
      <w:r>
        <w:rPr>
          <w:rFonts w:hint="eastAsia" w:ascii="Times New Roman" w:hAnsi="Times New Roman" w:cs="Times New Roman"/>
          <w:color w:val="auto"/>
          <w:szCs w:val="32"/>
          <w:highlight w:val="none"/>
          <w:lang w:val="en-US" w:eastAsia="zh-CN"/>
        </w:rPr>
        <w:t>改造</w:t>
      </w:r>
      <w:r>
        <w:rPr>
          <w:rFonts w:ascii="Times New Roman" w:hAnsi="Times New Roman" w:cs="Times New Roman"/>
          <w:color w:val="auto"/>
          <w:szCs w:val="32"/>
          <w:highlight w:val="none"/>
        </w:rPr>
        <w:t>。</w:t>
      </w:r>
    </w:p>
    <w:p>
      <w:pPr>
        <w:pStyle w:val="19"/>
        <w:pageBreakBefore w:val="0"/>
        <w:wordWrap/>
        <w:overflowPunct/>
        <w:autoSpaceDE/>
        <w:autoSpaceDN/>
        <w:bidi w:val="0"/>
        <w:spacing w:line="530" w:lineRule="exact"/>
        <w:ind w:firstLine="643"/>
        <w:rPr>
          <w:rFonts w:hint="eastAsia" w:ascii="Times New Roman" w:hAnsi="Times New Roman" w:eastAsia="仿宋_GB2312" w:cs="Times New Roman"/>
          <w:color w:val="auto"/>
          <w:szCs w:val="32"/>
          <w:highlight w:val="none"/>
          <w:lang w:eastAsia="zh-CN"/>
        </w:rPr>
      </w:pPr>
      <w:r>
        <w:rPr>
          <w:rFonts w:ascii="Times New Roman" w:hAnsi="Times New Roman" w:cs="Times New Roman"/>
          <w:b/>
          <w:bCs/>
          <w:color w:val="auto"/>
          <w:kern w:val="0"/>
          <w:szCs w:val="32"/>
          <w:highlight w:val="none"/>
          <w:lang w:bidi="ar"/>
        </w:rPr>
        <w:t>加强既有建筑利用。</w:t>
      </w:r>
      <w:r>
        <w:rPr>
          <w:rFonts w:hint="eastAsia" w:ascii="Times New Roman" w:hAnsi="Times New Roman" w:cs="Times New Roman"/>
          <w:color w:val="auto"/>
          <w:szCs w:val="32"/>
          <w:highlight w:val="none"/>
        </w:rPr>
        <w:t>明确既有建筑改造标准和适用条件，鼓励将闲置低效的旧厂房、旧仓库改造为科创园区、文创空间。推动低效商业建筑改造为社区服务中心、社区养老、文体活动室等公共服务设施用房</w:t>
      </w:r>
      <w:r>
        <w:rPr>
          <w:rFonts w:hint="eastAsia" w:ascii="Times New Roman" w:hAnsi="Times New Roman" w:cs="Times New Roman"/>
          <w:color w:val="auto"/>
          <w:szCs w:val="32"/>
          <w:highlight w:val="none"/>
          <w:lang w:eastAsia="zh-CN"/>
        </w:rPr>
        <w:t>。</w:t>
      </w:r>
    </w:p>
    <w:p>
      <w:pPr>
        <w:pStyle w:val="4"/>
        <w:pageBreakBefore w:val="0"/>
        <w:wordWrap/>
        <w:overflowPunct/>
        <w:autoSpaceDE/>
        <w:autoSpaceDN/>
        <w:bidi w:val="0"/>
        <w:spacing w:line="530" w:lineRule="exact"/>
        <w:rPr>
          <w:color w:val="auto"/>
          <w:highlight w:val="none"/>
        </w:rPr>
      </w:pPr>
      <w:bookmarkStart w:id="516" w:name="_Toc971343508"/>
      <w:bookmarkStart w:id="517" w:name="_Toc401253967"/>
      <w:r>
        <w:rPr>
          <w:color w:val="auto"/>
          <w:highlight w:val="none"/>
        </w:rPr>
        <w:t>推进城镇老旧小区整治改造</w:t>
      </w:r>
      <w:bookmarkEnd w:id="516"/>
      <w:bookmarkEnd w:id="517"/>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kern w:val="0"/>
          <w:szCs w:val="32"/>
          <w:highlight w:val="none"/>
          <w:lang w:val="en-US" w:eastAsia="zh-CN" w:bidi="ar"/>
        </w:rPr>
        <w:t>推动老旧小区改造。</w:t>
      </w:r>
      <w:r>
        <w:rPr>
          <w:rFonts w:hint="eastAsia" w:ascii="Times New Roman" w:hAnsi="Times New Roman" w:cs="Times New Roman"/>
          <w:b w:val="0"/>
          <w:bCs w:val="0"/>
          <w:color w:val="auto"/>
          <w:kern w:val="0"/>
          <w:szCs w:val="32"/>
          <w:highlight w:val="none"/>
          <w:lang w:val="en-US" w:eastAsia="zh-CN" w:bidi="ar"/>
        </w:rPr>
        <w:t>实现</w:t>
      </w:r>
      <w:r>
        <w:rPr>
          <w:rFonts w:ascii="Times New Roman" w:hAnsi="Times New Roman" w:cs="Times New Roman"/>
          <w:b w:val="0"/>
          <w:i w:val="0"/>
          <w:color w:val="auto"/>
          <w:szCs w:val="32"/>
          <w:highlight w:val="none"/>
        </w:rPr>
        <w:t>2000</w:t>
      </w:r>
      <w:r>
        <w:rPr>
          <w:rFonts w:ascii="Times New Roman" w:hAnsi="Times New Roman" w:cs="Times New Roman"/>
          <w:color w:val="auto"/>
          <w:szCs w:val="32"/>
          <w:highlight w:val="none"/>
        </w:rPr>
        <w:t>年前</w:t>
      </w:r>
      <w:r>
        <w:rPr>
          <w:rFonts w:hint="eastAsia" w:ascii="Times New Roman" w:hAnsi="Times New Roman" w:cs="Times New Roman"/>
          <w:color w:val="auto"/>
          <w:szCs w:val="32"/>
          <w:highlight w:val="none"/>
          <w:lang w:val="en-US" w:eastAsia="zh-CN"/>
        </w:rPr>
        <w:t>建成的</w:t>
      </w:r>
      <w:r>
        <w:rPr>
          <w:rFonts w:ascii="Times New Roman" w:hAnsi="Times New Roman" w:cs="Times New Roman"/>
          <w:color w:val="auto"/>
          <w:szCs w:val="32"/>
          <w:highlight w:val="none"/>
        </w:rPr>
        <w:t>老旧小区应改尽改，以长春公园周边、景阳大路沿线等区域为重点，开展居住环境整治、服务功能提升、社区特色塑造等工作，持续提升老旧小区居住环境、</w:t>
      </w:r>
      <w:r>
        <w:rPr>
          <w:rFonts w:hint="eastAsia" w:ascii="Times New Roman" w:hAnsi="Times New Roman" w:cs="Times New Roman"/>
          <w:color w:val="auto"/>
          <w:szCs w:val="32"/>
          <w:highlight w:val="none"/>
          <w:lang w:val="en-US" w:eastAsia="zh-CN"/>
        </w:rPr>
        <w:t>基础</w:t>
      </w:r>
      <w:r>
        <w:rPr>
          <w:rFonts w:ascii="Times New Roman" w:hAnsi="Times New Roman" w:cs="Times New Roman"/>
          <w:color w:val="auto"/>
          <w:szCs w:val="32"/>
          <w:highlight w:val="none"/>
        </w:rPr>
        <w:t>设施、服务功能和文化价值。通过“五社联动”治理模式，实施“老旧小区改造+物业服务”一体化攻坚行动，改造工程与长效管理同步进行。</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hint="eastAsia" w:ascii="Times New Roman" w:hAnsi="Times New Roman" w:cs="Times New Roman"/>
          <w:b/>
          <w:bCs/>
          <w:color w:val="auto"/>
          <w:kern w:val="0"/>
          <w:szCs w:val="32"/>
          <w:highlight w:val="none"/>
          <w:lang w:val="en-US" w:eastAsia="zh-CN" w:bidi="ar"/>
        </w:rPr>
        <w:t>聚焦设施安全改善</w:t>
      </w:r>
      <w:r>
        <w:rPr>
          <w:rFonts w:ascii="Times New Roman" w:hAnsi="Times New Roman" w:cs="Times New Roman"/>
          <w:b/>
          <w:bCs/>
          <w:color w:val="auto"/>
          <w:kern w:val="0"/>
          <w:szCs w:val="32"/>
          <w:highlight w:val="none"/>
          <w:lang w:bidi="ar"/>
        </w:rPr>
        <w:t>。</w:t>
      </w:r>
      <w:r>
        <w:rPr>
          <w:rFonts w:ascii="Times New Roman" w:hAnsi="Times New Roman" w:cs="Times New Roman"/>
          <w:color w:val="auto"/>
          <w:szCs w:val="32"/>
          <w:highlight w:val="none"/>
        </w:rPr>
        <w:t>加强老旧小区改造质量安全监管</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系统推进地下管网改造，全面排查老旧小区内年久失修的供水、排水、供电、供气、供热、通信等管线设施，实现</w:t>
      </w:r>
      <w:r>
        <w:rPr>
          <w:rFonts w:hint="eastAsia" w:ascii="Times New Roman" w:hAnsi="Times New Roman" w:cs="Times New Roman"/>
          <w:color w:val="auto"/>
          <w:szCs w:val="32"/>
          <w:highlight w:val="none"/>
          <w:lang w:val="en-US" w:eastAsia="zh-CN"/>
        </w:rPr>
        <w:t>管线</w:t>
      </w:r>
      <w:r>
        <w:rPr>
          <w:rFonts w:ascii="Times New Roman" w:hAnsi="Times New Roman" w:cs="Times New Roman"/>
          <w:color w:val="auto"/>
          <w:szCs w:val="32"/>
          <w:highlight w:val="none"/>
        </w:rPr>
        <w:t>集约化敷设与入地改造。重点推进C、D级危房整治，完善消防通道、消防设施及应急照明系统，因地制宜建设无障碍设施。</w:t>
      </w:r>
    </w:p>
    <w:p>
      <w:pPr>
        <w:pStyle w:val="4"/>
        <w:pageBreakBefore w:val="0"/>
        <w:wordWrap/>
        <w:overflowPunct/>
        <w:autoSpaceDE/>
        <w:autoSpaceDN/>
        <w:bidi w:val="0"/>
        <w:spacing w:line="530" w:lineRule="exact"/>
        <w:rPr>
          <w:color w:val="auto"/>
          <w:highlight w:val="none"/>
        </w:rPr>
      </w:pPr>
      <w:bookmarkStart w:id="518" w:name="_Toc199654462"/>
      <w:bookmarkStart w:id="519" w:name="_Toc776771789"/>
      <w:r>
        <w:rPr>
          <w:color w:val="auto"/>
          <w:highlight w:val="none"/>
        </w:rPr>
        <w:t>开展完整社区建设</w:t>
      </w:r>
      <w:bookmarkEnd w:id="518"/>
      <w:bookmarkEnd w:id="519"/>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0"/>
          <w:highlight w:val="none"/>
          <w:lang w:bidi="ar"/>
        </w:rPr>
        <w:t>补齐公服设施短板。</w:t>
      </w:r>
      <w:r>
        <w:rPr>
          <w:rFonts w:hint="eastAsia" w:ascii="Times New Roman" w:hAnsi="Times New Roman" w:cs="Times New Roman"/>
          <w:color w:val="auto"/>
          <w:szCs w:val="32"/>
          <w:highlight w:val="none"/>
          <w:lang w:val="en-US" w:eastAsia="zh-CN"/>
        </w:rPr>
        <w:t>利用闲置空间灵活布局小体量、多功能的服务设施场所，打造惠民小街，完善社区功能配置。</w:t>
      </w:r>
      <w:r>
        <w:rPr>
          <w:rFonts w:ascii="Times New Roman" w:hAnsi="Times New Roman" w:cs="Times New Roman"/>
          <w:color w:val="auto"/>
          <w:szCs w:val="32"/>
          <w:highlight w:val="none"/>
        </w:rPr>
        <w:t>社区底层商业与街边商铺补齐菜市场、便利店、社区食堂等便民服务短板，构建</w:t>
      </w:r>
      <w:r>
        <w:rPr>
          <w:rFonts w:hint="eastAsia" w:ascii="Times New Roman" w:hAnsi="Times New Roman" w:cs="Times New Roman"/>
          <w:color w:val="auto"/>
          <w:szCs w:val="32"/>
          <w:highlight w:val="none"/>
          <w:lang w:eastAsia="zh-CN"/>
        </w:rPr>
        <w:t>“</w:t>
      </w:r>
      <w:r>
        <w:rPr>
          <w:rFonts w:hint="eastAsia" w:ascii="Times New Roman" w:hAnsi="Times New Roman" w:cs="Times New Roman"/>
          <w:b w:val="0"/>
          <w:i w:val="0"/>
          <w:color w:val="auto"/>
          <w:szCs w:val="32"/>
          <w:highlight w:val="none"/>
        </w:rPr>
        <w:t>15</w:t>
      </w:r>
      <w:r>
        <w:rPr>
          <w:rFonts w:hint="eastAsia" w:ascii="Times New Roman" w:hAnsi="Times New Roman" w:cs="Times New Roman"/>
          <w:color w:val="auto"/>
          <w:szCs w:val="32"/>
          <w:highlight w:val="none"/>
        </w:rPr>
        <w:t>分钟</w:t>
      </w:r>
      <w:r>
        <w:rPr>
          <w:rFonts w:ascii="Times New Roman" w:hAnsi="Times New Roman" w:cs="Times New Roman"/>
          <w:color w:val="auto"/>
          <w:szCs w:val="32"/>
          <w:highlight w:val="none"/>
        </w:rPr>
        <w:t>便民生活圈</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。完善</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一老一小</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服务设施，推进社区养老服务设施建设，鼓励利用社区闲置资源建设婴幼儿照护服务点，解决养老难、托育难问题。</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kern w:val="0"/>
          <w:szCs w:val="30"/>
          <w:highlight w:val="none"/>
          <w:lang w:val="en-US" w:eastAsia="zh-CN" w:bidi="ar"/>
        </w:rPr>
        <w:t>变革社区服务模式。</w:t>
      </w:r>
      <w:r>
        <w:rPr>
          <w:rFonts w:hint="eastAsia" w:ascii="Times New Roman" w:hAnsi="Times New Roman" w:cs="Times New Roman"/>
          <w:color w:val="auto"/>
          <w:szCs w:val="32"/>
          <w:highlight w:val="none"/>
          <w:lang w:val="en-US" w:eastAsia="zh-CN"/>
        </w:rPr>
        <w:t>引入社会专业力量提升社区精细化治理水平，引入社区合作伙伴为居民提供智慧化程度高、普适惠民的“智惠医院”“幸福食堂”“幸福学堂”等多元服务，满足居民医疗、就餐、学习、休闲娱乐等需求，打造集便民服务、文化交流和健康管理于一体的综合服务平台。开设社区工坊，搭建创业就业平台，增加居民的参与感和经济收益。完善“申请—社区推荐—街道备案—街道授牌”的社区合作伙伴准入制度，细化约谈、退出等措施，定期结合社区考核和居民服务评价对社区合作伙伴进行动态管理，保证服务质量。</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0"/>
          <w:highlight w:val="none"/>
          <w:lang w:bidi="ar"/>
        </w:rPr>
        <w:t>健全社区治理机制。</w:t>
      </w:r>
      <w:r>
        <w:rPr>
          <w:rFonts w:ascii="Times New Roman" w:hAnsi="Times New Roman" w:cs="Times New Roman"/>
          <w:color w:val="auto"/>
          <w:szCs w:val="32"/>
          <w:highlight w:val="none"/>
        </w:rPr>
        <w:t>深化居民自治实践，畅通居民议事协商渠道，推广“居民议事厅”等协商形式，激发居民参与社区事务的积极性。探索开放式合作模式，通过资源整合，</w:t>
      </w:r>
      <w:r>
        <w:rPr>
          <w:rFonts w:hint="eastAsia" w:ascii="Times New Roman" w:hAnsi="Times New Roman" w:cs="Times New Roman"/>
          <w:color w:val="auto"/>
          <w:szCs w:val="32"/>
          <w:highlight w:val="none"/>
          <w:lang w:val="en-US" w:eastAsia="zh-CN"/>
        </w:rPr>
        <w:t>将</w:t>
      </w:r>
      <w:r>
        <w:rPr>
          <w:rFonts w:ascii="Times New Roman" w:hAnsi="Times New Roman" w:cs="Times New Roman"/>
          <w:color w:val="auto"/>
          <w:szCs w:val="32"/>
          <w:highlight w:val="none"/>
        </w:rPr>
        <w:t>社区</w:t>
      </w:r>
      <w:r>
        <w:rPr>
          <w:rFonts w:hint="eastAsia" w:ascii="Times New Roman" w:hAnsi="Times New Roman" w:cs="Times New Roman"/>
          <w:color w:val="auto"/>
          <w:szCs w:val="32"/>
          <w:highlight w:val="none"/>
          <w:lang w:val="en-US" w:eastAsia="zh-CN"/>
        </w:rPr>
        <w:t>治理</w:t>
      </w:r>
      <w:r>
        <w:rPr>
          <w:rFonts w:ascii="Times New Roman" w:hAnsi="Times New Roman" w:cs="Times New Roman"/>
          <w:color w:val="auto"/>
          <w:szCs w:val="32"/>
          <w:highlight w:val="none"/>
        </w:rPr>
        <w:t>从单一主体向</w:t>
      </w:r>
      <w:r>
        <w:rPr>
          <w:rFonts w:hint="default" w:ascii="Times New Roman" w:hAnsi="Times New Roman" w:cs="Times New Roman"/>
          <w:color w:val="auto"/>
          <w:szCs w:val="32"/>
          <w:highlight w:val="none"/>
        </w:rPr>
        <w:t>多元共治转变。</w:t>
      </w:r>
      <w:r>
        <w:rPr>
          <w:rFonts w:ascii="Times New Roman" w:hAnsi="Times New Roman" w:cs="Times New Roman"/>
          <w:color w:val="auto"/>
          <w:szCs w:val="32"/>
          <w:highlight w:val="none"/>
        </w:rPr>
        <w:t>激发企业、社会组织等各方参与社区治理的积极性。</w:t>
      </w:r>
    </w:p>
    <w:p>
      <w:pPr>
        <w:pStyle w:val="4"/>
        <w:pageBreakBefore w:val="0"/>
        <w:wordWrap/>
        <w:overflowPunct/>
        <w:autoSpaceDE/>
        <w:autoSpaceDN/>
        <w:bidi w:val="0"/>
        <w:spacing w:line="530" w:lineRule="exact"/>
        <w:jc w:val="right"/>
        <w:rPr>
          <w:color w:val="auto"/>
          <w:highlight w:val="none"/>
        </w:rPr>
      </w:pPr>
      <w:bookmarkStart w:id="520" w:name="_Toc650367610"/>
      <w:bookmarkStart w:id="521" w:name="_Toc1223086220"/>
      <w:r>
        <w:rPr>
          <w:color w:val="auto"/>
          <w:highlight w:val="none"/>
        </w:rPr>
        <w:t>推进老旧街区、老旧厂区、城中村等更新改造</w:t>
      </w:r>
      <w:bookmarkEnd w:id="520"/>
      <w:bookmarkEnd w:id="521"/>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有序开展征收工作。</w:t>
      </w:r>
      <w:r>
        <w:rPr>
          <w:rFonts w:ascii="Times New Roman" w:hAnsi="Times New Roman" w:cs="Times New Roman"/>
          <w:color w:val="auto"/>
          <w:szCs w:val="32"/>
          <w:highlight w:val="none"/>
        </w:rPr>
        <w:t>推进皓月养殖基地地块、三四环间城中村、龙峰殡仪馆等项目征收，释放土地资源，为城市更新项目提供土地保障。科学制定年度征收计划，完善多元化安置补偿政策，提供货币补偿、产权调换、异地安置等多种方式。优化征收流程，建立跨部门联动机制，提高审批效率，强化资金保障，确保补偿资金及时到位。</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推动城中村改造整治。</w:t>
      </w:r>
      <w:r>
        <w:rPr>
          <w:rFonts w:ascii="Times New Roman" w:hAnsi="Times New Roman" w:cs="Times New Roman"/>
          <w:color w:val="auto"/>
          <w:szCs w:val="32"/>
          <w:highlight w:val="none"/>
        </w:rPr>
        <w:t>推进城中村更新改造项目</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启动绿园区双丰村、翟家北、大成玉米城中村改造开发建设项目，提速已获批项目征收进程，着力破解征拆瓶颈，提升土地整备效率，保障回迁安置房按时启动建设。强化政策与资源支撑，坚持政府主导、市场运作机制，推行肥瘦搭配、综合平衡的开发模式，科学论证项目启动路径，秉持尽力而为、量力而行原则，扎实稳妥推进条件成熟项目。</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推进老旧街区、老旧厂区更新改造。</w:t>
      </w:r>
      <w:r>
        <w:rPr>
          <w:rFonts w:ascii="Times New Roman" w:hAnsi="Times New Roman" w:cs="Times New Roman"/>
          <w:color w:val="auto"/>
          <w:szCs w:val="32"/>
          <w:highlight w:val="none"/>
        </w:rPr>
        <w:t>启动</w:t>
      </w:r>
      <w:r>
        <w:rPr>
          <w:rFonts w:ascii="Times New Roman" w:hAnsi="Times New Roman" w:cs="Times New Roman"/>
          <w:b w:val="0"/>
          <w:i w:val="0"/>
          <w:color w:val="auto"/>
          <w:szCs w:val="32"/>
          <w:highlight w:val="none"/>
        </w:rPr>
        <w:t>54</w:t>
      </w:r>
      <w:r>
        <w:rPr>
          <w:rFonts w:hint="eastAsia" w:ascii="Times New Roman" w:hAnsi="Times New Roman" w:cs="Times New Roman"/>
          <w:color w:val="auto"/>
          <w:szCs w:val="32"/>
          <w:highlight w:val="none"/>
          <w:lang w:val="en-US" w:eastAsia="zh-CN"/>
        </w:rPr>
        <w:t>路</w:t>
      </w:r>
      <w:r>
        <w:rPr>
          <w:rFonts w:ascii="Times New Roman" w:hAnsi="Times New Roman" w:cs="Times New Roman"/>
          <w:color w:val="auto"/>
          <w:szCs w:val="32"/>
          <w:highlight w:val="none"/>
        </w:rPr>
        <w:t>沿线、</w:t>
      </w:r>
      <w:r>
        <w:rPr>
          <w:rFonts w:hint="eastAsia" w:ascii="Times New Roman" w:hAnsi="Times New Roman" w:cs="Times New Roman"/>
          <w:color w:val="auto"/>
          <w:szCs w:val="32"/>
          <w:highlight w:val="none"/>
          <w:lang w:val="en-US" w:eastAsia="zh-CN"/>
        </w:rPr>
        <w:t>春城大街、皓月大路、正阳街等</w:t>
      </w:r>
      <w:r>
        <w:rPr>
          <w:rFonts w:ascii="Times New Roman" w:hAnsi="Times New Roman" w:cs="Times New Roman"/>
          <w:color w:val="auto"/>
          <w:szCs w:val="32"/>
          <w:highlight w:val="none"/>
        </w:rPr>
        <w:t>老旧街区改造提升建设项目，推动街区业态升级与品牌培育。深入挖掘“长客工业记忆”“皓月肉牛产业”等本土特色项目，重点打造长客、皓月工业品牌街区。注重保护老旧街区历史风貌、延续社区文脉、补齐设施短板，打造兼具烟火气与人文味的特色生活街区。强调老旧厂区工业遗产的保护性利用，通过功能置换，转型为科技创新园区、文创艺术基地或体育休闲空间，植入新经济、新业态。</w:t>
      </w:r>
    </w:p>
    <w:p>
      <w:pPr>
        <w:pStyle w:val="4"/>
        <w:pageBreakBefore w:val="0"/>
        <w:wordWrap/>
        <w:overflowPunct/>
        <w:autoSpaceDE/>
        <w:autoSpaceDN/>
        <w:bidi w:val="0"/>
        <w:spacing w:line="530" w:lineRule="exact"/>
        <w:rPr>
          <w:color w:val="auto"/>
          <w:highlight w:val="none"/>
        </w:rPr>
      </w:pPr>
      <w:bookmarkStart w:id="522" w:name="_Toc36658040"/>
      <w:bookmarkStart w:id="523" w:name="_Toc696630456"/>
      <w:r>
        <w:rPr>
          <w:color w:val="auto"/>
          <w:highlight w:val="none"/>
        </w:rPr>
        <w:t>加强城市基础设施建设改造</w:t>
      </w:r>
      <w:bookmarkEnd w:id="522"/>
      <w:bookmarkEnd w:id="523"/>
    </w:p>
    <w:p>
      <w:pPr>
        <w:pStyle w:val="19"/>
        <w:pageBreakBefore w:val="0"/>
        <w:wordWrap/>
        <w:overflowPunct/>
        <w:autoSpaceDE/>
        <w:autoSpaceDN/>
        <w:bidi w:val="0"/>
        <w:spacing w:line="530" w:lineRule="exact"/>
        <w:ind w:firstLine="643"/>
        <w:rPr>
          <w:rFonts w:hint="default" w:ascii="Times New Roman" w:hAnsi="Times New Roman" w:eastAsia="仿宋" w:cs="Times New Roman"/>
          <w:color w:val="auto"/>
          <w:szCs w:val="32"/>
          <w:highlight w:val="none"/>
        </w:rPr>
      </w:pPr>
      <w:r>
        <w:rPr>
          <w:rFonts w:ascii="Times New Roman" w:hAnsi="Times New Roman" w:cs="Times New Roman"/>
          <w:b/>
          <w:bCs/>
          <w:color w:val="auto"/>
          <w:kern w:val="0"/>
          <w:szCs w:val="32"/>
          <w:highlight w:val="none"/>
          <w:lang w:bidi="ar"/>
        </w:rPr>
        <w:t>加强市政管网改造。</w:t>
      </w:r>
      <w:r>
        <w:rPr>
          <w:rFonts w:ascii="Times New Roman" w:hAnsi="Times New Roman" w:cs="Times New Roman"/>
          <w:color w:val="auto"/>
          <w:szCs w:val="32"/>
          <w:highlight w:val="none"/>
        </w:rPr>
        <w:t>实施绿园区林园街道、正阳街道、春城街道、迎宾街道、铁西街道、合心镇住宅小区综合管网改造项目、绿园经济开发区排水管网改造等项目，加快城市燃气、供水、排水、污水、供热等地下管线管网和地下综合管廊建设改造，推动生活垃圾处理设施改造升级，完善建设运维长效管理制度。</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筑牢城市安全防线。</w:t>
      </w:r>
      <w:r>
        <w:rPr>
          <w:rFonts w:ascii="Times New Roman" w:hAnsi="Times New Roman" w:cs="Times New Roman"/>
          <w:color w:val="auto"/>
          <w:szCs w:val="32"/>
          <w:highlight w:val="none"/>
        </w:rPr>
        <w:t>提升公共卫生设施防灾避险功能，合理规划建设应急避难场所，确保水、电、通讯等设施具备抗灾韧性。统筹城市防洪和内涝治理，建立联排联调机制、加快设施建设，系统构建现代化防洪排涝体系，提升老城区防洪排涝能力。完善消防站点和消防水源布局，打通消防通道，建设防灾工程。增强城市应急保障能力，合理布局应急物资储备库，建立平急结合的物资保障体系。</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推进新型基础设施建设。</w:t>
      </w:r>
      <w:r>
        <w:rPr>
          <w:rFonts w:ascii="Times New Roman" w:hAnsi="Times New Roman" w:cs="Times New Roman"/>
          <w:color w:val="auto"/>
          <w:szCs w:val="32"/>
          <w:highlight w:val="none"/>
        </w:rPr>
        <w:t>重点深化建筑信息模型（BIM）技术在规划、设计、施工和运维全生命周期的集成应用，推动城市建设管理数字化、智能化转型。对关键设施开展实时监测、风险评估和预警处置，构建系统性、综合性的城市安全保障体系。</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优化城市路网结构。</w:t>
      </w:r>
      <w:r>
        <w:rPr>
          <w:rFonts w:ascii="Times New Roman" w:hAnsi="Times New Roman" w:cs="Times New Roman"/>
          <w:color w:val="auto"/>
          <w:szCs w:val="32"/>
          <w:highlight w:val="none"/>
        </w:rPr>
        <w:t>打通区域断头路、</w:t>
      </w:r>
      <w:r>
        <w:rPr>
          <w:rFonts w:hint="eastAsia" w:cs="Times New Roman"/>
          <w:color w:val="auto"/>
          <w:szCs w:val="32"/>
          <w:highlight w:val="none"/>
          <w:lang w:eastAsia="zh-CN"/>
        </w:rPr>
        <w:t>卡脖子路</w:t>
      </w:r>
      <w:r>
        <w:rPr>
          <w:rFonts w:ascii="Times New Roman" w:hAnsi="Times New Roman" w:cs="Times New Roman"/>
          <w:color w:val="auto"/>
          <w:szCs w:val="32"/>
          <w:highlight w:val="none"/>
        </w:rPr>
        <w:t>，有效破解节点拥堵问题，增强整体路网服务能力。到</w:t>
      </w:r>
      <w:r>
        <w:rPr>
          <w:rFonts w:ascii="Times New Roman" w:hAnsi="Times New Roman" w:cs="Times New Roman"/>
          <w:b w:val="0"/>
          <w:i w:val="0"/>
          <w:color w:val="auto"/>
          <w:szCs w:val="32"/>
          <w:highlight w:val="none"/>
        </w:rPr>
        <w:t>2030</w:t>
      </w:r>
      <w:r>
        <w:rPr>
          <w:rFonts w:ascii="Times New Roman" w:hAnsi="Times New Roman" w:cs="Times New Roman"/>
          <w:color w:val="auto"/>
          <w:szCs w:val="32"/>
          <w:highlight w:val="none"/>
        </w:rPr>
        <w:t>年底，新建、改造</w:t>
      </w:r>
      <w:r>
        <w:rPr>
          <w:rFonts w:ascii="Times New Roman" w:hAnsi="Times New Roman" w:cs="Times New Roman"/>
          <w:b w:val="0"/>
          <w:i w:val="0"/>
          <w:color w:val="auto"/>
          <w:szCs w:val="32"/>
          <w:highlight w:val="none"/>
        </w:rPr>
        <w:t>18</w:t>
      </w:r>
      <w:r>
        <w:rPr>
          <w:rFonts w:ascii="Times New Roman" w:hAnsi="Times New Roman" w:cs="Times New Roman"/>
          <w:color w:val="auto"/>
          <w:szCs w:val="32"/>
          <w:highlight w:val="none"/>
        </w:rPr>
        <w:t>条道路，新建景阳大路与西四环路立交桥等</w:t>
      </w:r>
      <w:r>
        <w:rPr>
          <w:rFonts w:ascii="Times New Roman" w:hAnsi="Times New Roman" w:cs="Times New Roman"/>
          <w:b w:val="0"/>
          <w:i w:val="0"/>
          <w:color w:val="auto"/>
          <w:szCs w:val="32"/>
          <w:highlight w:val="none"/>
        </w:rPr>
        <w:t>4</w:t>
      </w:r>
      <w:r>
        <w:rPr>
          <w:rFonts w:ascii="Times New Roman" w:hAnsi="Times New Roman" w:cs="Times New Roman"/>
          <w:color w:val="auto"/>
          <w:szCs w:val="32"/>
          <w:highlight w:val="none"/>
        </w:rPr>
        <w:t>条快速路、长太高速公路连接线（一期）、西客站周边</w:t>
      </w:r>
      <w:r>
        <w:rPr>
          <w:rFonts w:ascii="Times New Roman" w:hAnsi="Times New Roman" w:cs="Times New Roman"/>
          <w:b w:val="0"/>
          <w:i w:val="0"/>
          <w:color w:val="auto"/>
          <w:szCs w:val="32"/>
          <w:highlight w:val="none"/>
        </w:rPr>
        <w:t>7</w:t>
      </w:r>
      <w:r>
        <w:rPr>
          <w:rFonts w:ascii="Times New Roman" w:hAnsi="Times New Roman" w:cs="Times New Roman"/>
          <w:color w:val="auto"/>
          <w:szCs w:val="32"/>
          <w:highlight w:val="none"/>
        </w:rPr>
        <w:t>条道路和万盛书院等小区周边</w:t>
      </w:r>
      <w:r>
        <w:rPr>
          <w:rFonts w:ascii="Times New Roman" w:hAnsi="Times New Roman" w:cs="Times New Roman"/>
          <w:b w:val="0"/>
          <w:i w:val="0"/>
          <w:color w:val="auto"/>
          <w:szCs w:val="32"/>
          <w:highlight w:val="none"/>
        </w:rPr>
        <w:t>5</w:t>
      </w:r>
      <w:r>
        <w:rPr>
          <w:rFonts w:ascii="Times New Roman" w:hAnsi="Times New Roman" w:cs="Times New Roman"/>
          <w:color w:val="auto"/>
          <w:szCs w:val="32"/>
          <w:highlight w:val="none"/>
        </w:rPr>
        <w:t>条道路，改造西环城路。</w:t>
      </w:r>
    </w:p>
    <w:p>
      <w:pPr>
        <w:pStyle w:val="4"/>
        <w:pageBreakBefore w:val="0"/>
        <w:wordWrap/>
        <w:overflowPunct/>
        <w:autoSpaceDE/>
        <w:autoSpaceDN/>
        <w:bidi w:val="0"/>
        <w:spacing w:line="530" w:lineRule="exact"/>
        <w:rPr>
          <w:color w:val="auto"/>
          <w:highlight w:val="none"/>
        </w:rPr>
      </w:pPr>
      <w:bookmarkStart w:id="524" w:name="_Toc1931355238"/>
      <w:bookmarkStart w:id="525" w:name="_Toc187230548"/>
      <w:r>
        <w:rPr>
          <w:color w:val="auto"/>
          <w:highlight w:val="none"/>
        </w:rPr>
        <w:t>构建城市管理</w:t>
      </w:r>
      <w:r>
        <w:rPr>
          <w:rFonts w:hint="eastAsia"/>
          <w:color w:val="auto"/>
          <w:highlight w:val="none"/>
          <w:lang w:eastAsia="zh-CN"/>
        </w:rPr>
        <w:t>新</w:t>
      </w:r>
      <w:r>
        <w:rPr>
          <w:color w:val="auto"/>
          <w:highlight w:val="none"/>
        </w:rPr>
        <w:t>模式</w:t>
      </w:r>
      <w:bookmarkEnd w:id="524"/>
      <w:bookmarkEnd w:id="52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打造多元城市管理模式。</w:t>
      </w:r>
      <w:r>
        <w:rPr>
          <w:rFonts w:ascii="Times New Roman" w:hAnsi="Times New Roman" w:cs="Times New Roman"/>
          <w:color w:val="auto"/>
          <w:szCs w:val="32"/>
          <w:highlight w:val="none"/>
        </w:rPr>
        <w:t>构建“城管+项目”模式，落实市容、环卫、执法设备更新更换，提升辖区执法保障与环卫作业服务力量。依托城市更新结合区内环卫用地，打造现代化综合环卫公共服务中心，提升辖区环卫高效化、集约化管理水平。构建“城管+网格”模式，细化属地城市管理最小单元，从主聚集区域，逐步扩展至社区、小区、单元楼。建立多层级的</w:t>
      </w:r>
      <w:r>
        <w:rPr>
          <w:rFonts w:hint="eastAsia" w:ascii="Times New Roman" w:hAnsi="Times New Roman" w:cs="Times New Roman"/>
          <w:color w:val="auto"/>
          <w:szCs w:val="32"/>
          <w:highlight w:val="none"/>
        </w:rPr>
        <w:t>“执法+环卫+街道+社区+网格长”联动机制</w:t>
      </w:r>
      <w:r>
        <w:rPr>
          <w:rFonts w:ascii="Times New Roman" w:hAnsi="Times New Roman" w:cs="Times New Roman"/>
          <w:color w:val="auto"/>
          <w:szCs w:val="32"/>
          <w:highlight w:val="none"/>
        </w:rPr>
        <w:t>，落实问题发现—上报—处理—反馈—销号的闭环管理模式，实现辖区市容市貌与环境卫生精细治理的长效常态。构建“城管+航空”模式，助力</w:t>
      </w:r>
      <w:r>
        <w:rPr>
          <w:rFonts w:hint="eastAsia" w:ascii="Times New Roman" w:hAnsi="Times New Roman" w:cs="Times New Roman"/>
          <w:color w:val="auto"/>
          <w:szCs w:val="32"/>
          <w:highlight w:val="none"/>
          <w:lang w:val="en-US" w:eastAsia="zh-CN"/>
        </w:rPr>
        <w:t>航博城</w:t>
      </w:r>
      <w:r>
        <w:rPr>
          <w:rFonts w:ascii="Times New Roman" w:hAnsi="Times New Roman" w:cs="Times New Roman"/>
          <w:color w:val="auto"/>
          <w:szCs w:val="32"/>
          <w:highlight w:val="none"/>
        </w:rPr>
        <w:t>项目，常态化做好市容执法保障与环卫清扫保洁，为长春航空展、长春航空文化展示中心、蓝天公园等“航空名片”提供坚实保障。</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促进城乡环境提档升级。</w:t>
      </w:r>
      <w:r>
        <w:rPr>
          <w:rFonts w:ascii="Times New Roman" w:hAnsi="Times New Roman" w:cs="Times New Roman"/>
          <w:color w:val="auto"/>
          <w:szCs w:val="32"/>
          <w:highlight w:val="none"/>
        </w:rPr>
        <w:t>环境卫生管理建立全覆盖、无死角和高质量的长效机制，</w:t>
      </w:r>
      <w:r>
        <w:rPr>
          <w:rFonts w:ascii="Times New Roman" w:hAnsi="Times New Roman" w:cs="Times New Roman"/>
          <w:b w:val="0"/>
          <w:i w:val="0"/>
          <w:color w:val="auto"/>
          <w:szCs w:val="32"/>
          <w:highlight w:val="none"/>
        </w:rPr>
        <w:t>11</w:t>
      </w:r>
      <w:r>
        <w:rPr>
          <w:rFonts w:ascii="Times New Roman" w:hAnsi="Times New Roman" w:cs="Times New Roman"/>
          <w:color w:val="auto"/>
          <w:szCs w:val="32"/>
          <w:highlight w:val="none"/>
        </w:rPr>
        <w:t>条三级街路按照一级街路标准打造样板街路，其余三级街路全部达到二级街路清扫保洁水平。</w:t>
      </w:r>
      <w:r>
        <w:rPr>
          <w:rFonts w:hint="eastAsia" w:ascii="Times New Roman" w:hAnsi="Times New Roman" w:cs="Times New Roman"/>
          <w:color w:val="auto"/>
          <w:szCs w:val="32"/>
          <w:highlight w:val="none"/>
        </w:rPr>
        <w:t>建成区内</w:t>
      </w:r>
      <w:r>
        <w:rPr>
          <w:rFonts w:hint="eastAsia" w:ascii="Times New Roman" w:hAnsi="Times New Roman" w:cs="Times New Roman"/>
          <w:color w:val="auto"/>
          <w:szCs w:val="32"/>
          <w:highlight w:val="none"/>
          <w:lang w:val="en-US" w:eastAsia="zh-CN"/>
        </w:rPr>
        <w:t>商业区和人员密集区</w:t>
      </w:r>
      <w:r>
        <w:rPr>
          <w:rFonts w:hint="eastAsia" w:ascii="Times New Roman" w:hAnsi="Times New Roman" w:cs="Times New Roman"/>
          <w:color w:val="auto"/>
          <w:szCs w:val="32"/>
          <w:highlight w:val="none"/>
        </w:rPr>
        <w:t>公厕（环卫公厕+</w:t>
      </w:r>
      <w:r>
        <w:rPr>
          <w:rFonts w:hint="eastAsia" w:ascii="Times New Roman" w:hAnsi="Times New Roman" w:cs="Times New Roman"/>
          <w:color w:val="auto"/>
          <w:szCs w:val="32"/>
          <w:highlight w:val="none"/>
          <w:lang w:val="en-US" w:eastAsia="zh-CN"/>
        </w:rPr>
        <w:t>公共机构</w:t>
      </w:r>
      <w:r>
        <w:rPr>
          <w:rFonts w:hint="eastAsia" w:ascii="Times New Roman" w:hAnsi="Times New Roman" w:cs="Times New Roman"/>
          <w:color w:val="auto"/>
          <w:szCs w:val="32"/>
          <w:highlight w:val="none"/>
        </w:rPr>
        <w:t>对外开放公厕）密度达到</w:t>
      </w:r>
      <w:r>
        <w:rPr>
          <w:rFonts w:hint="eastAsia" w:ascii="Times New Roman" w:hAnsi="Times New Roman" w:cs="Times New Roman"/>
          <w:b w:val="0"/>
          <w:i w:val="0"/>
          <w:color w:val="auto"/>
          <w:szCs w:val="32"/>
          <w:highlight w:val="none"/>
          <w:lang w:val="en-US" w:eastAsia="zh-CN"/>
        </w:rPr>
        <w:t>3</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b w:val="0"/>
          <w:i w:val="0"/>
          <w:color w:val="auto"/>
          <w:szCs w:val="32"/>
          <w:highlight w:val="none"/>
        </w:rPr>
        <w:t>5</w:t>
      </w:r>
      <w:r>
        <w:rPr>
          <w:rFonts w:hint="eastAsia" w:ascii="Times New Roman" w:hAnsi="Times New Roman" w:cs="Times New Roman"/>
          <w:color w:val="auto"/>
          <w:szCs w:val="32"/>
          <w:highlight w:val="none"/>
        </w:rPr>
        <w:t>座/平方公里以上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全区主次街路户外广告牌匾规范率达到</w:t>
      </w:r>
      <w:r>
        <w:rPr>
          <w:rFonts w:ascii="Times New Roman" w:hAnsi="Times New Roman" w:cs="Times New Roman"/>
          <w:b w:val="0"/>
          <w:i w:val="0"/>
          <w:color w:val="auto"/>
          <w:szCs w:val="32"/>
          <w:highlight w:val="none"/>
        </w:rPr>
        <w:t>99</w:t>
      </w:r>
      <w:r>
        <w:rPr>
          <w:rFonts w:ascii="Times New Roman" w:hAnsi="Times New Roman" w:cs="Times New Roman"/>
          <w:color w:val="auto"/>
          <w:szCs w:val="32"/>
          <w:highlight w:val="none"/>
        </w:rPr>
        <w:t>%，垃圾分类管理实现“绿色低碳”的发展目标，优化城市生活垃圾分类“两个体系”结构。</w:t>
      </w:r>
    </w:p>
    <w:p>
      <w:pPr>
        <w:pStyle w:val="3"/>
        <w:pageBreakBefore w:val="0"/>
        <w:wordWrap/>
        <w:overflowPunct/>
        <w:autoSpaceDE/>
        <w:autoSpaceDN/>
        <w:bidi w:val="0"/>
        <w:spacing w:line="530" w:lineRule="exact"/>
        <w:rPr>
          <w:color w:val="auto"/>
          <w:highlight w:val="none"/>
        </w:rPr>
      </w:pPr>
      <w:bookmarkStart w:id="526" w:name="_Toc1414700728"/>
      <w:bookmarkStart w:id="527" w:name="_Toc1834219830"/>
      <w:bookmarkStart w:id="528" w:name="_Toc1072160661"/>
      <w:bookmarkStart w:id="529" w:name="_Toc2055626254"/>
      <w:bookmarkStart w:id="530" w:name="_Toc720277381"/>
      <w:r>
        <w:rPr>
          <w:rFonts w:hint="eastAsia"/>
          <w:color w:val="auto"/>
          <w:highlight w:val="none"/>
          <w:lang w:val="en-US" w:eastAsia="zh-CN"/>
        </w:rPr>
        <w:t>打造花园城区示范场景</w:t>
      </w:r>
      <w:bookmarkEnd w:id="526"/>
      <w:bookmarkEnd w:id="527"/>
      <w:bookmarkEnd w:id="528"/>
      <w:bookmarkEnd w:id="529"/>
      <w:bookmarkEnd w:id="530"/>
    </w:p>
    <w:p>
      <w:pPr>
        <w:pStyle w:val="4"/>
        <w:pageBreakBefore w:val="0"/>
        <w:wordWrap/>
        <w:overflowPunct/>
        <w:autoSpaceDE/>
        <w:autoSpaceDN/>
        <w:bidi w:val="0"/>
        <w:spacing w:line="530" w:lineRule="exact"/>
        <w:rPr>
          <w:color w:val="auto"/>
          <w:highlight w:val="none"/>
        </w:rPr>
      </w:pPr>
      <w:bookmarkStart w:id="531" w:name="_Toc336624328"/>
      <w:bookmarkStart w:id="532" w:name="_Toc268947450"/>
      <w:r>
        <w:rPr>
          <w:color w:val="auto"/>
          <w:highlight w:val="none"/>
        </w:rPr>
        <w:t>构建城园共融的公园场景</w:t>
      </w:r>
      <w:bookmarkEnd w:id="531"/>
      <w:bookmarkEnd w:id="532"/>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完善公园生态格局。</w:t>
      </w:r>
      <w:r>
        <w:rPr>
          <w:rFonts w:hint="eastAsia" w:ascii="Times New Roman" w:hAnsi="Times New Roman" w:cs="Times New Roman"/>
          <w:color w:val="auto"/>
          <w:szCs w:val="32"/>
          <w:highlight w:val="none"/>
        </w:rPr>
        <w:t>打造综合公园、社区公园、口袋公园三级公园体系</w:t>
      </w:r>
      <w:r>
        <w:rPr>
          <w:rFonts w:ascii="Times New Roman" w:hAnsi="Times New Roman" w:cs="Times New Roman"/>
          <w:color w:val="auto"/>
          <w:szCs w:val="32"/>
          <w:highlight w:val="none"/>
        </w:rPr>
        <w:t>，重点提升长春公园、天嘉公园</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蓝天公园、林园、锦江公园、复兴公园</w:t>
      </w:r>
      <w:r>
        <w:rPr>
          <w:rFonts w:ascii="Times New Roman" w:hAnsi="Times New Roman" w:cs="Times New Roman"/>
          <w:color w:val="auto"/>
          <w:szCs w:val="32"/>
          <w:highlight w:val="none"/>
        </w:rPr>
        <w:t>等现有公园品质。实施城市增绿行动，</w:t>
      </w:r>
      <w:r>
        <w:rPr>
          <w:rFonts w:hint="eastAsia" w:ascii="Times New Roman" w:hAnsi="Times New Roman" w:cs="Times New Roman"/>
          <w:color w:val="auto"/>
          <w:szCs w:val="32"/>
          <w:highlight w:val="none"/>
          <w:lang w:val="en-US" w:eastAsia="zh-CN"/>
        </w:rPr>
        <w:t>增加全区绿</w:t>
      </w:r>
      <w:r>
        <w:rPr>
          <w:rFonts w:ascii="Times New Roman" w:hAnsi="Times New Roman" w:cs="Times New Roman"/>
          <w:color w:val="auto"/>
          <w:szCs w:val="32"/>
          <w:highlight w:val="none"/>
        </w:rPr>
        <w:t>地</w:t>
      </w:r>
      <w:r>
        <w:rPr>
          <w:rFonts w:hint="eastAsia" w:ascii="Times New Roman" w:hAnsi="Times New Roman" w:cs="Times New Roman"/>
          <w:color w:val="auto"/>
          <w:szCs w:val="32"/>
          <w:highlight w:val="none"/>
          <w:lang w:val="en-US" w:eastAsia="zh-CN"/>
        </w:rPr>
        <w:t>总</w:t>
      </w:r>
      <w:r>
        <w:rPr>
          <w:rFonts w:ascii="Times New Roman" w:hAnsi="Times New Roman" w:cs="Times New Roman"/>
          <w:color w:val="auto"/>
          <w:szCs w:val="32"/>
          <w:highlight w:val="none"/>
        </w:rPr>
        <w:t>面积。</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推进公园开放共享。</w:t>
      </w:r>
      <w:r>
        <w:rPr>
          <w:rFonts w:ascii="Times New Roman" w:hAnsi="Times New Roman" w:cs="Times New Roman"/>
          <w:color w:val="auto"/>
          <w:szCs w:val="32"/>
          <w:highlight w:val="none"/>
        </w:rPr>
        <w:t>打破物理隔阂，全面推行无界公园理念。新建公园落实无界开放要求，已建成公园通过降低围栏高度、设置绿化退界、优化出入口等方式，弱化边界感，促进公园生态景观向城市街区渗透。开放具备条件的草坪及林下空间，建立轮换养护机制，完善休憩、健身、文化等配套服务。</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打造公园消费场景。</w:t>
      </w:r>
      <w:r>
        <w:rPr>
          <w:rFonts w:ascii="Times New Roman" w:hAnsi="Times New Roman" w:cs="Times New Roman"/>
          <w:color w:val="auto"/>
          <w:szCs w:val="32"/>
          <w:highlight w:val="none"/>
        </w:rPr>
        <w:t>以长春公园为核心，结合吾悦广场串联周边消费场景，激发城区经济新活力，推动公园绿地从单一的生态景观功能，向承载商业消费、文化体验、社交互动的复合功能转变，形成“公园+”经济新模式。在社区公园和口袋公园的规划中，预留灵活的商业外摆空间，支持在公园内举办周末市集、社区艺术展等活动，使其成为激活社区“烟火气”的公共客厅。</w:t>
      </w:r>
    </w:p>
    <w:p>
      <w:pPr>
        <w:pStyle w:val="4"/>
        <w:pageBreakBefore w:val="0"/>
        <w:wordWrap/>
        <w:overflowPunct/>
        <w:autoSpaceDE/>
        <w:autoSpaceDN/>
        <w:bidi w:val="0"/>
        <w:spacing w:line="530" w:lineRule="exact"/>
        <w:rPr>
          <w:color w:val="auto"/>
          <w:highlight w:val="none"/>
        </w:rPr>
      </w:pPr>
      <w:bookmarkStart w:id="533" w:name="_Toc1173154498"/>
      <w:bookmarkStart w:id="534" w:name="_Toc1894198862"/>
      <w:r>
        <w:rPr>
          <w:color w:val="auto"/>
          <w:highlight w:val="none"/>
        </w:rPr>
        <w:t>打造互通便利的绿道体系</w:t>
      </w:r>
      <w:bookmarkEnd w:id="533"/>
      <w:bookmarkEnd w:id="534"/>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hint="eastAsia" w:ascii="Times New Roman" w:hAnsi="Times New Roman" w:cs="Times New Roman"/>
          <w:b/>
          <w:bCs/>
          <w:color w:val="auto"/>
          <w:szCs w:val="32"/>
          <w:highlight w:val="none"/>
          <w:lang w:val="en-US" w:eastAsia="zh-CN"/>
        </w:rPr>
        <w:t>推动绿道工程建设。</w:t>
      </w:r>
      <w:r>
        <w:rPr>
          <w:rFonts w:hint="eastAsia" w:ascii="Times New Roman" w:hAnsi="Times New Roman" w:cs="Times New Roman"/>
          <w:color w:val="auto"/>
          <w:szCs w:val="32"/>
          <w:highlight w:val="none"/>
          <w:lang w:val="en-US" w:eastAsia="zh-CN"/>
        </w:rPr>
        <w:t>打造区域级、城区级、社区级三级绿道体系。沿串湖等主要水系建设亲水步道和自行车道，开展水质净化、岸线修复工程，连接沿线公园绿地，形成贯穿区域生态绿道。利用长客等企业工业资源，打造集历史记忆、艺术展示、休闲漫步于一体的特色线性公园绿道。结合长春西站交通枢纽与航博城等核心区域，打造迎宾绿道，强化门户形象。</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ascii="Times New Roman" w:hAnsi="Times New Roman" w:cs="Times New Roman"/>
          <w:b/>
          <w:bCs/>
          <w:color w:val="auto"/>
          <w:szCs w:val="32"/>
          <w:highlight w:val="none"/>
        </w:rPr>
        <w:t>加强绿道连通作用。</w:t>
      </w:r>
      <w:r>
        <w:rPr>
          <w:rFonts w:hint="eastAsia" w:ascii="Times New Roman" w:hAnsi="Times New Roman" w:cs="Times New Roman"/>
          <w:color w:val="auto"/>
          <w:szCs w:val="32"/>
          <w:highlight w:val="none"/>
          <w:lang w:val="en-US" w:eastAsia="zh-CN"/>
        </w:rPr>
        <w:t>推进城市绿道与公园绿地、林地、河道水系有机衔接，构建串联各主要公园的绿色廊道系统。增加全区绿道总里程，依托绿道网络建设，有效衔接西客站、航博城、串湖水系等重要功能节点与活力空间，将分散布局的城市公园、博物馆、特色街区和商业综合体紧密连接。通过绿道体系的引导，推动沿线生态要素、公共空间与城市功能深度融合与协同升级，系统性提升生态涵养、景观风貌、游憩体验等多维综合价值。</w:t>
      </w:r>
    </w:p>
    <w:p>
      <w:pPr>
        <w:pStyle w:val="19"/>
        <w:pageBreakBefore w:val="0"/>
        <w:wordWrap/>
        <w:overflowPunct/>
        <w:autoSpaceDE/>
        <w:autoSpaceDN/>
        <w:bidi w:val="0"/>
        <w:spacing w:line="530" w:lineRule="exact"/>
        <w:ind w:firstLine="643"/>
        <w:rPr>
          <w:rFonts w:hint="eastAsia" w:ascii="Times New Roman" w:hAnsi="Times New Roman" w:cs="Times New Roman"/>
          <w:color w:val="auto"/>
          <w:szCs w:val="32"/>
          <w:highlight w:val="none"/>
          <w:lang w:val="en-US" w:eastAsia="zh-CN"/>
        </w:rPr>
      </w:pPr>
      <w:r>
        <w:rPr>
          <w:rFonts w:ascii="Times New Roman" w:hAnsi="Times New Roman" w:cs="Times New Roman"/>
          <w:b/>
          <w:bCs/>
          <w:color w:val="auto"/>
          <w:szCs w:val="32"/>
          <w:highlight w:val="none"/>
        </w:rPr>
        <w:t>推动绿道空间融合。</w:t>
      </w:r>
      <w:r>
        <w:rPr>
          <w:rFonts w:hint="eastAsia" w:ascii="Times New Roman" w:hAnsi="Times New Roman" w:cs="Times New Roman"/>
          <w:color w:val="auto"/>
          <w:szCs w:val="32"/>
          <w:highlight w:val="none"/>
          <w:lang w:val="en-US" w:eastAsia="zh-CN"/>
        </w:rPr>
        <w:t>打破绿道与周边地块的功能壁垒，重点强化绿地边界空间设计，通过功能植入与空间共享，促进生态空间与文化、体育、商业等功能的深度融合，打造一批多功能复合的绿色活力节点。优化慢行交通系统，开辟视觉通廊，引导绿色生态空间向城市街区有序渗透，实现城绿交融。</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szCs w:val="32"/>
          <w:highlight w:val="none"/>
          <w:lang w:val="en-US" w:eastAsia="zh-CN"/>
        </w:rPr>
        <w:t>完善绿道配套设施。</w:t>
      </w:r>
      <w:r>
        <w:rPr>
          <w:rFonts w:hint="eastAsia" w:ascii="Times New Roman" w:hAnsi="Times New Roman" w:cs="Times New Roman"/>
          <w:color w:val="auto"/>
          <w:szCs w:val="32"/>
          <w:highlight w:val="none"/>
          <w:lang w:val="en-US" w:eastAsia="zh-CN"/>
        </w:rPr>
        <w:t>系统推进服务驿站、标识导览、照明安防等配套设施建设，构建分级分类、功能完善的绿道服务系统。合理布局综合服务驿站与便民服务点，提供休憩、咨询、零售、急救等服务功能。建立统一清晰的标识导览体系，提升绿道通达性与辨识度。</w:t>
      </w:r>
    </w:p>
    <w:p>
      <w:pPr>
        <w:pStyle w:val="4"/>
        <w:pageBreakBefore w:val="0"/>
        <w:wordWrap/>
        <w:overflowPunct/>
        <w:autoSpaceDE/>
        <w:autoSpaceDN/>
        <w:bidi w:val="0"/>
        <w:spacing w:line="530" w:lineRule="exact"/>
        <w:rPr>
          <w:color w:val="auto"/>
          <w:highlight w:val="none"/>
        </w:rPr>
      </w:pPr>
      <w:bookmarkStart w:id="535" w:name="_Toc1160284779"/>
      <w:bookmarkStart w:id="536" w:name="_Toc1502690506"/>
      <w:r>
        <w:rPr>
          <w:color w:val="auto"/>
          <w:highlight w:val="none"/>
        </w:rPr>
        <w:t>营造宜居宜业的城市空间</w:t>
      </w:r>
      <w:bookmarkEnd w:id="535"/>
      <w:bookmarkEnd w:id="536"/>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开展花园街区创建。</w:t>
      </w:r>
      <w:r>
        <w:rPr>
          <w:rFonts w:ascii="Times New Roman" w:hAnsi="Times New Roman" w:cs="Times New Roman"/>
          <w:color w:val="auto"/>
          <w:szCs w:val="32"/>
          <w:highlight w:val="none"/>
        </w:rPr>
        <w:t>选取</w:t>
      </w:r>
      <w:r>
        <w:rPr>
          <w:rFonts w:hint="eastAsia" w:ascii="Times New Roman" w:hAnsi="Times New Roman" w:cs="Times New Roman"/>
          <w:color w:val="auto"/>
          <w:szCs w:val="32"/>
          <w:highlight w:val="none"/>
          <w:lang w:val="en-US" w:eastAsia="zh-CN"/>
        </w:rPr>
        <w:t>景阳</w:t>
      </w:r>
      <w:r>
        <w:rPr>
          <w:rFonts w:ascii="Times New Roman" w:hAnsi="Times New Roman" w:cs="Times New Roman"/>
          <w:color w:val="auto"/>
          <w:szCs w:val="32"/>
          <w:highlight w:val="none"/>
        </w:rPr>
        <w:t>大路等重要街区，实施街道全域景观化改造。优化行道树品种，增植观花、彩叶树种，形成“一街一景、四季有景”的特色景观大道。打造精致化的街角花园、休闲座椅和外摆空间，持续推进林荫路覆盖，为行人提供舒适惬意的步行环境。</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推进花园社区建设。</w:t>
      </w:r>
      <w:r>
        <w:rPr>
          <w:rFonts w:ascii="Times New Roman" w:hAnsi="Times New Roman" w:cs="Times New Roman"/>
          <w:color w:val="auto"/>
          <w:szCs w:val="32"/>
          <w:highlight w:val="none"/>
        </w:rPr>
        <w:t>以社区为单位补齐公共服务设施短板，同步进行景观环境提升。在社区中心、养老托幼设施周边配套建设社区花园、儿童游乐场、健身步道等，鼓励居民参与花园社区共建活动。结合老旧小区改造，大力增加宅前屋后的绿化面积，实现“推窗见绿、出门入园”。</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打造</w:t>
      </w:r>
      <w:r>
        <w:rPr>
          <w:rFonts w:hint="eastAsia" w:ascii="Times New Roman" w:hAnsi="Times New Roman" w:cs="Times New Roman"/>
          <w:b/>
          <w:bCs/>
          <w:color w:val="auto"/>
          <w:szCs w:val="32"/>
          <w:highlight w:val="none"/>
          <w:lang w:val="en-US" w:eastAsia="zh-CN"/>
        </w:rPr>
        <w:t>绿色</w:t>
      </w:r>
      <w:r>
        <w:rPr>
          <w:rFonts w:ascii="Times New Roman" w:hAnsi="Times New Roman" w:cs="Times New Roman"/>
          <w:b/>
          <w:bCs/>
          <w:color w:val="auto"/>
          <w:szCs w:val="32"/>
          <w:highlight w:val="none"/>
        </w:rPr>
        <w:t>产业园区。</w:t>
      </w:r>
      <w:r>
        <w:rPr>
          <w:rFonts w:ascii="Times New Roman" w:hAnsi="Times New Roman" w:cs="Times New Roman"/>
          <w:color w:val="auto"/>
          <w:szCs w:val="32"/>
          <w:highlight w:val="none"/>
        </w:rPr>
        <w:t>引导企业</w:t>
      </w:r>
      <w:r>
        <w:rPr>
          <w:rFonts w:hint="eastAsia" w:ascii="Times New Roman" w:hAnsi="Times New Roman" w:cs="Times New Roman"/>
          <w:color w:val="auto"/>
          <w:szCs w:val="32"/>
          <w:highlight w:val="none"/>
          <w:lang w:val="en-US" w:eastAsia="zh-CN"/>
        </w:rPr>
        <w:t>提升</w:t>
      </w:r>
      <w:r>
        <w:rPr>
          <w:rFonts w:ascii="Times New Roman" w:hAnsi="Times New Roman" w:cs="Times New Roman"/>
          <w:color w:val="auto"/>
          <w:szCs w:val="32"/>
          <w:highlight w:val="none"/>
        </w:rPr>
        <w:t>厂区绿化</w:t>
      </w:r>
      <w:r>
        <w:rPr>
          <w:rFonts w:hint="eastAsia" w:ascii="Times New Roman" w:hAnsi="Times New Roman" w:cs="Times New Roman"/>
          <w:color w:val="auto"/>
          <w:szCs w:val="32"/>
          <w:highlight w:val="none"/>
          <w:lang w:val="en-US" w:eastAsia="zh-CN"/>
        </w:rPr>
        <w:t>环境</w:t>
      </w:r>
      <w:r>
        <w:rPr>
          <w:rFonts w:ascii="Times New Roman" w:hAnsi="Times New Roman" w:cs="Times New Roman"/>
          <w:color w:val="auto"/>
          <w:szCs w:val="32"/>
          <w:highlight w:val="none"/>
        </w:rPr>
        <w:t>，建设生态停车场、休闲绿地，将绿色生态融入研发、生产环节，提升</w:t>
      </w:r>
      <w:r>
        <w:rPr>
          <w:rFonts w:hint="eastAsia" w:ascii="Times New Roman" w:hAnsi="Times New Roman" w:cs="Times New Roman"/>
          <w:color w:val="auto"/>
          <w:szCs w:val="32"/>
          <w:highlight w:val="none"/>
          <w:lang w:val="en-US" w:eastAsia="zh-CN"/>
        </w:rPr>
        <w:t>产业</w:t>
      </w:r>
      <w:r>
        <w:rPr>
          <w:rFonts w:ascii="Times New Roman" w:hAnsi="Times New Roman" w:cs="Times New Roman"/>
          <w:color w:val="auto"/>
          <w:szCs w:val="32"/>
          <w:highlight w:val="none"/>
        </w:rPr>
        <w:t>园区</w:t>
      </w:r>
      <w:r>
        <w:rPr>
          <w:rFonts w:hint="eastAsia" w:ascii="Times New Roman" w:hAnsi="Times New Roman" w:cs="Times New Roman"/>
          <w:color w:val="auto"/>
          <w:szCs w:val="32"/>
          <w:highlight w:val="none"/>
          <w:lang w:val="en-US" w:eastAsia="zh-CN"/>
        </w:rPr>
        <w:t>生态</w:t>
      </w:r>
      <w:r>
        <w:rPr>
          <w:rFonts w:ascii="Times New Roman" w:hAnsi="Times New Roman" w:cs="Times New Roman"/>
          <w:color w:val="auto"/>
          <w:szCs w:val="32"/>
          <w:highlight w:val="none"/>
        </w:rPr>
        <w:t>环境，赋能高端制造业发展。</w:t>
      </w:r>
    </w:p>
    <w:p>
      <w:pPr>
        <w:pStyle w:val="4"/>
        <w:pageBreakBefore w:val="0"/>
        <w:wordWrap/>
        <w:overflowPunct/>
        <w:autoSpaceDE/>
        <w:autoSpaceDN/>
        <w:bidi w:val="0"/>
        <w:spacing w:line="530" w:lineRule="exact"/>
        <w:rPr>
          <w:color w:val="auto"/>
          <w:highlight w:val="none"/>
        </w:rPr>
      </w:pPr>
      <w:bookmarkStart w:id="537" w:name="_Toc1754765893"/>
      <w:bookmarkStart w:id="538" w:name="_Toc1311645622"/>
      <w:r>
        <w:rPr>
          <w:color w:val="auto"/>
          <w:highlight w:val="none"/>
        </w:rPr>
        <w:t>塑造文绿交织的文化印记</w:t>
      </w:r>
      <w:bookmarkEnd w:id="537"/>
      <w:bookmarkEnd w:id="538"/>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绿色空间赋能文化活力。</w:t>
      </w:r>
      <w:r>
        <w:rPr>
          <w:rFonts w:ascii="Times New Roman" w:hAnsi="Times New Roman" w:cs="Times New Roman"/>
          <w:color w:val="auto"/>
          <w:szCs w:val="32"/>
          <w:highlight w:val="none"/>
        </w:rPr>
        <w:t>聚焦长春公园、天嘉公园等核心区域，通过塑造高品质、高舒适度的绿色开放空间，有效激活商圈及文化场馆的</w:t>
      </w:r>
      <w:r>
        <w:rPr>
          <w:rFonts w:hint="eastAsia" w:ascii="Times New Roman" w:hAnsi="Times New Roman" w:cs="Times New Roman"/>
          <w:color w:val="auto"/>
          <w:szCs w:val="32"/>
          <w:highlight w:val="none"/>
          <w:lang w:val="en-US" w:eastAsia="zh-CN"/>
        </w:rPr>
        <w:t>活力</w:t>
      </w:r>
      <w:r>
        <w:rPr>
          <w:rFonts w:ascii="Times New Roman" w:hAnsi="Times New Roman" w:cs="Times New Roman"/>
          <w:color w:val="auto"/>
          <w:szCs w:val="32"/>
          <w:highlight w:val="none"/>
        </w:rPr>
        <w:t>。增加植被</w:t>
      </w:r>
      <w:r>
        <w:rPr>
          <w:rFonts w:hint="eastAsia" w:ascii="Times New Roman" w:hAnsi="Times New Roman" w:cs="Times New Roman"/>
          <w:color w:val="auto"/>
          <w:szCs w:val="32"/>
          <w:highlight w:val="none"/>
          <w:lang w:val="en-US" w:eastAsia="zh-CN"/>
        </w:rPr>
        <w:t>覆盖</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完善</w:t>
      </w:r>
      <w:r>
        <w:rPr>
          <w:rFonts w:ascii="Times New Roman" w:hAnsi="Times New Roman" w:cs="Times New Roman"/>
          <w:color w:val="auto"/>
          <w:szCs w:val="32"/>
          <w:highlight w:val="none"/>
        </w:rPr>
        <w:t>透水铺装、</w:t>
      </w:r>
      <w:r>
        <w:rPr>
          <w:rFonts w:hint="eastAsia" w:ascii="Times New Roman" w:hAnsi="Times New Roman" w:cs="Times New Roman"/>
          <w:color w:val="auto"/>
          <w:szCs w:val="32"/>
          <w:highlight w:val="none"/>
          <w:lang w:val="en-US" w:eastAsia="zh-CN"/>
        </w:rPr>
        <w:t>增设</w:t>
      </w:r>
      <w:r>
        <w:rPr>
          <w:rFonts w:ascii="Times New Roman" w:hAnsi="Times New Roman" w:cs="Times New Roman"/>
          <w:color w:val="auto"/>
          <w:szCs w:val="32"/>
          <w:highlight w:val="none"/>
        </w:rPr>
        <w:t>休憩设施，创造宜人的驻足与交往空间，</w:t>
      </w:r>
      <w:r>
        <w:rPr>
          <w:rFonts w:hint="eastAsia" w:ascii="Times New Roman" w:hAnsi="Times New Roman" w:cs="Times New Roman"/>
          <w:color w:val="auto"/>
          <w:szCs w:val="32"/>
          <w:highlight w:val="none"/>
          <w:lang w:val="en-US" w:eastAsia="zh-CN"/>
        </w:rPr>
        <w:t>提升城区文化活力。</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szCs w:val="32"/>
          <w:highlight w:val="none"/>
        </w:rPr>
        <w:t>公共艺术塑造文化标识。</w:t>
      </w:r>
      <w:r>
        <w:rPr>
          <w:rFonts w:ascii="Times New Roman" w:hAnsi="Times New Roman" w:cs="Times New Roman"/>
          <w:color w:val="auto"/>
          <w:szCs w:val="32"/>
          <w:highlight w:val="none"/>
        </w:rPr>
        <w:t>将公共艺术作为提升城市文化品质的核心手段。系统整合历史文化资源，嵌入公园、绿地、街角等公共空间。重点加强街道家具的文化与景观一体化设计，营造富有特色记忆点和艺术感染力的</w:t>
      </w:r>
      <w:r>
        <w:rPr>
          <w:rFonts w:hint="eastAsia" w:ascii="Times New Roman" w:hAnsi="Times New Roman" w:cs="Times New Roman"/>
          <w:color w:val="auto"/>
          <w:szCs w:val="32"/>
          <w:highlight w:val="none"/>
          <w:lang w:val="en-US" w:eastAsia="zh-CN"/>
        </w:rPr>
        <w:t>文化标识</w:t>
      </w:r>
      <w:r>
        <w:rPr>
          <w:rFonts w:ascii="Times New Roman" w:hAnsi="Times New Roman" w:cs="Times New Roman"/>
          <w:color w:val="auto"/>
          <w:szCs w:val="32"/>
          <w:highlight w:val="none"/>
        </w:rPr>
        <w:t>。</w:t>
      </w:r>
    </w:p>
    <w:p>
      <w:pPr>
        <w:pStyle w:val="19"/>
        <w:pageBreakBefore w:val="0"/>
        <w:wordWrap/>
        <w:overflowPunct/>
        <w:autoSpaceDE/>
        <w:autoSpaceDN/>
        <w:bidi w:val="0"/>
        <w:spacing w:line="530" w:lineRule="exact"/>
        <w:rPr>
          <w:rFonts w:hint="eastAsia"/>
          <w:color w:val="auto"/>
          <w:highlight w:val="none"/>
        </w:rPr>
      </w:pPr>
      <w:r>
        <w:rPr>
          <w:rFonts w:ascii="Times New Roman" w:hAnsi="Times New Roman" w:cs="Times New Roman"/>
          <w:b/>
          <w:bCs/>
          <w:color w:val="auto"/>
          <w:szCs w:val="32"/>
          <w:highlight w:val="none"/>
        </w:rPr>
        <w:t>工业厂区焕活文化记忆。</w:t>
      </w:r>
      <w:r>
        <w:rPr>
          <w:rFonts w:hint="eastAsia" w:ascii="Times New Roman" w:hAnsi="Times New Roman" w:cs="Times New Roman"/>
          <w:color w:val="auto"/>
          <w:szCs w:val="32"/>
          <w:highlight w:val="none"/>
        </w:rPr>
        <w:t>结合长客、皓月等企业园区，打造工业文化景观。在厂区周边或公共空间，运用铁轨、机车、雕塑小品等元素进行景观设计，建设主题口袋公园或工业遗址公园，传承城市工业记忆。</w:t>
      </w:r>
      <w:bookmarkEnd w:id="511"/>
      <w:bookmarkEnd w:id="512"/>
      <w:bookmarkEnd w:id="513"/>
    </w:p>
    <w:p>
      <w:pPr>
        <w:pStyle w:val="3"/>
        <w:pageBreakBefore w:val="0"/>
        <w:wordWrap/>
        <w:overflowPunct/>
        <w:autoSpaceDE/>
        <w:autoSpaceDN/>
        <w:bidi w:val="0"/>
        <w:spacing w:line="530" w:lineRule="exact"/>
        <w:rPr>
          <w:rFonts w:hint="eastAsia"/>
          <w:color w:val="auto"/>
          <w:highlight w:val="none"/>
          <w:lang w:eastAsia="zh-CN"/>
        </w:rPr>
      </w:pPr>
      <w:bookmarkStart w:id="539" w:name="_Toc908332499"/>
      <w:bookmarkStart w:id="540" w:name="_Toc957439400"/>
      <w:bookmarkStart w:id="541" w:name="_Toc2083679559"/>
      <w:bookmarkStart w:id="542" w:name="_Toc550675702"/>
      <w:bookmarkStart w:id="543" w:name="_Toc1234873504"/>
      <w:bookmarkStart w:id="544" w:name="_Toc1777733032"/>
      <w:r>
        <w:rPr>
          <w:rFonts w:hint="eastAsia"/>
          <w:color w:val="auto"/>
          <w:highlight w:val="none"/>
          <w:lang w:val="en-US" w:eastAsia="zh-CN"/>
        </w:rPr>
        <w:t>提升公共服务水平</w:t>
      </w:r>
      <w:bookmarkEnd w:id="539"/>
      <w:bookmarkEnd w:id="540"/>
      <w:bookmarkEnd w:id="541"/>
    </w:p>
    <w:p>
      <w:pPr>
        <w:pStyle w:val="4"/>
        <w:pageBreakBefore w:val="0"/>
        <w:wordWrap/>
        <w:overflowPunct/>
        <w:autoSpaceDE/>
        <w:autoSpaceDN/>
        <w:bidi w:val="0"/>
        <w:spacing w:line="530" w:lineRule="exact"/>
        <w:rPr>
          <w:color w:val="auto"/>
          <w:highlight w:val="none"/>
        </w:rPr>
      </w:pPr>
      <w:bookmarkStart w:id="545" w:name="_Toc2030547817"/>
      <w:r>
        <w:rPr>
          <w:color w:val="auto"/>
          <w:highlight w:val="none"/>
        </w:rPr>
        <w:t>推进健康绿园建设</w:t>
      </w:r>
      <w:bookmarkEnd w:id="545"/>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b/>
          <w:bCs/>
          <w:color w:val="auto"/>
          <w:highlight w:val="none"/>
        </w:rPr>
        <w:t>健全医疗服务体系</w:t>
      </w:r>
      <w:r>
        <w:rPr>
          <w:rFonts w:hint="eastAsia"/>
          <w:b/>
          <w:bCs/>
          <w:color w:val="auto"/>
          <w:highlight w:val="none"/>
          <w:lang w:eastAsia="zh-CN"/>
        </w:rPr>
        <w:t>。</w:t>
      </w:r>
      <w:r>
        <w:rPr>
          <w:rFonts w:hint="eastAsia"/>
          <w:b w:val="0"/>
          <w:bCs w:val="0"/>
          <w:color w:val="auto"/>
          <w:highlight w:val="none"/>
          <w:lang w:eastAsia="zh-CN"/>
        </w:rPr>
        <w:t>实施医疗设施标准化建设，加快推进</w:t>
      </w:r>
      <w:r>
        <w:rPr>
          <w:rFonts w:hint="eastAsia"/>
          <w:b w:val="0"/>
          <w:bCs w:val="0"/>
          <w:color w:val="auto"/>
          <w:highlight w:val="none"/>
          <w:lang w:val="en-US" w:eastAsia="zh-CN"/>
        </w:rPr>
        <w:t>绿园区人民医院改扩建</w:t>
      </w:r>
      <w:r>
        <w:rPr>
          <w:rFonts w:hint="eastAsia"/>
          <w:b w:val="0"/>
          <w:bCs w:val="0"/>
          <w:color w:val="auto"/>
          <w:highlight w:val="none"/>
          <w:lang w:eastAsia="zh-CN"/>
        </w:rPr>
        <w:t>、慢病管理中心等重点项目，并谋划区中医院改造、智慧医院、疾控中心标准化及城西镇卫生院新建工作，持续提升公立医疗机构硬件水平。同步推动医疗服务质量提升，依托国家区域医疗中心与吉大二院分院强化疑难重症诊疗能力，深化紧密型城市医疗集团建设，建立远程诊疗中心和专家库，推广“分布式检查、集中式诊断”服务模式，构建分级诊疗新格局。积极发展“互联网+医疗健康”，推进在线诊疗、电子处方流转、药品网络销售等线上线下一体化服务，全面提升区域医疗卫生服务能力。</w:t>
      </w:r>
    </w:p>
    <w:p>
      <w:pPr>
        <w:pStyle w:val="19"/>
        <w:pageBreakBefore w:val="0"/>
        <w:wordWrap/>
        <w:overflowPunct/>
        <w:autoSpaceDE/>
        <w:autoSpaceDN/>
        <w:bidi w:val="0"/>
        <w:spacing w:line="530" w:lineRule="exact"/>
        <w:ind w:firstLine="643"/>
        <w:rPr>
          <w:rFonts w:hint="default" w:ascii="Times New Roman" w:hAnsi="Times New Roman" w:eastAsia="宋体"/>
          <w:color w:val="auto"/>
          <w:sz w:val="28"/>
          <w:szCs w:val="28"/>
          <w:highlight w:val="none"/>
          <w:lang w:bidi="ar"/>
        </w:rPr>
      </w:pPr>
      <w:r>
        <w:rPr>
          <w:b/>
          <w:bCs/>
          <w:color w:val="auto"/>
          <w:highlight w:val="none"/>
        </w:rPr>
        <w:t>完善公共卫生安全体系</w:t>
      </w:r>
      <w:r>
        <w:rPr>
          <w:rFonts w:hint="eastAsia"/>
          <w:b/>
          <w:bCs/>
          <w:color w:val="auto"/>
          <w:highlight w:val="none"/>
          <w:lang w:eastAsia="zh-CN"/>
        </w:rPr>
        <w:t>。</w:t>
      </w:r>
      <w:r>
        <w:rPr>
          <w:rFonts w:hint="eastAsia"/>
          <w:color w:val="auto"/>
          <w:highlight w:val="none"/>
          <w:lang w:eastAsia="zh-CN"/>
        </w:rPr>
        <w:t>健全公共卫生应急管理体系，推进医防协同与数字化监测预警，完善预案并强化平战结合能力。筑牢基层健康服务网底，聚焦重点人群构建慢病与儿童健康管理闭环，提升应急监督与执法能力。同时，提升全民健康素养，巩固慢性病防治等成果，推进体重管理、爱国卫生运动及职业病防治，加强食品安全与健康教育，促进全民文明健康生活方式。</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b/>
          <w:bCs/>
          <w:color w:val="auto"/>
          <w:highlight w:val="none"/>
        </w:rPr>
        <w:t>实施全民健身行动</w:t>
      </w:r>
      <w:r>
        <w:rPr>
          <w:rFonts w:hint="eastAsia"/>
          <w:b/>
          <w:bCs/>
          <w:color w:val="auto"/>
          <w:highlight w:val="none"/>
          <w:lang w:eastAsia="zh-CN"/>
        </w:rPr>
        <w:t>。</w:t>
      </w:r>
      <w:r>
        <w:rPr>
          <w:rFonts w:hint="eastAsia"/>
          <w:color w:val="auto"/>
          <w:highlight w:val="none"/>
          <w:lang w:eastAsia="zh-CN"/>
        </w:rPr>
        <w:t>构建全民健身公共服务体系，完善健身步道、器材等基础设施，推进学校体育场地开放，并重点打造体育公园，鼓励市民走进体育公园，享受便捷、绿色的健身空间，构建“</w:t>
      </w:r>
      <w:r>
        <w:rPr>
          <w:rFonts w:hint="eastAsia"/>
          <w:color w:val="auto"/>
          <w:highlight w:val="none"/>
          <w:lang w:val="en-US" w:eastAsia="zh-CN"/>
        </w:rPr>
        <w:t>社区</w:t>
      </w:r>
      <w:r>
        <w:rPr>
          <w:rFonts w:hint="eastAsia"/>
          <w:color w:val="auto"/>
          <w:highlight w:val="none"/>
          <w:lang w:eastAsia="zh-CN"/>
        </w:rPr>
        <w:t>健身圈”。同时广泛开展全民健身活动，普及青少年体育，关注重点群体需求，发挥体育社会组织作用，打造区域特色体育品牌，并加快体育场馆智慧化提升。深化体教融合，改革竞技体育管理体制，整合教练、教师等资源，围绕“三大球”及传统优势项目建设特色学校，创新运动员培养模式，加强体育后备人才培养，推动社会力量参与，完善基层体育管理。</w:t>
      </w:r>
    </w:p>
    <w:p>
      <w:pPr>
        <w:pStyle w:val="4"/>
        <w:pageBreakBefore w:val="0"/>
        <w:wordWrap/>
        <w:overflowPunct/>
        <w:autoSpaceDE/>
        <w:autoSpaceDN/>
        <w:bidi w:val="0"/>
        <w:spacing w:line="530" w:lineRule="exact"/>
        <w:rPr>
          <w:color w:val="auto"/>
          <w:highlight w:val="none"/>
        </w:rPr>
      </w:pPr>
      <w:bookmarkStart w:id="546" w:name="_Toc1754525842"/>
      <w:r>
        <w:rPr>
          <w:color w:val="auto"/>
          <w:highlight w:val="none"/>
        </w:rPr>
        <w:t>推动教育优质发展</w:t>
      </w:r>
      <w:bookmarkEnd w:id="546"/>
    </w:p>
    <w:p>
      <w:pPr>
        <w:pStyle w:val="19"/>
        <w:pageBreakBefore w:val="0"/>
        <w:wordWrap/>
        <w:overflowPunct/>
        <w:autoSpaceDE/>
        <w:autoSpaceDN/>
        <w:bidi w:val="0"/>
        <w:spacing w:line="530" w:lineRule="exact"/>
        <w:ind w:firstLine="643"/>
        <w:rPr>
          <w:rFonts w:hint="default" w:ascii="Times New Roman" w:hAnsi="Times New Roman" w:eastAsia="宋体"/>
          <w:color w:val="auto"/>
          <w:sz w:val="28"/>
          <w:szCs w:val="28"/>
          <w:highlight w:val="none"/>
          <w:lang w:bidi="ar"/>
        </w:rPr>
      </w:pPr>
      <w:r>
        <w:rPr>
          <w:b/>
          <w:bCs/>
          <w:color w:val="auto"/>
          <w:highlight w:val="none"/>
        </w:rPr>
        <w:t>健全育人落实机制</w:t>
      </w:r>
      <w:r>
        <w:rPr>
          <w:rFonts w:hint="eastAsia"/>
          <w:b/>
          <w:bCs/>
          <w:color w:val="auto"/>
          <w:highlight w:val="none"/>
          <w:lang w:eastAsia="zh-CN"/>
        </w:rPr>
        <w:t>。</w:t>
      </w:r>
      <w:r>
        <w:rPr>
          <w:rFonts w:hint="eastAsia"/>
          <w:color w:val="auto"/>
          <w:highlight w:val="none"/>
          <w:lang w:eastAsia="zh-CN"/>
        </w:rPr>
        <w:t>构建五育并举融合育人机制，深化学科德育改革，全面实施艺术素质测评，并推进“身心双提”工程以落实体育中考改革，同时推动家校社协同育人“教联体”建设。推进新时代思政教育一体化，把思政理念融入各学科教学，拓展实践场所并建设多元教师库，促进“思政小课堂”与“社会大课堂”深度融合。大力促进学生身心健康全面发展，通过建设健康监测平台、加强心理健康课程与“心灵港湾”建设、设立线下心理问诊点、建立心理筛查信息化平台，并夯实学校卫生保障，推行“互联网+明厨亮灶”，扎实做好传染病防控工作，全方位服务学生成长。</w:t>
      </w:r>
    </w:p>
    <w:p>
      <w:pPr>
        <w:pStyle w:val="19"/>
        <w:pageBreakBefore w:val="0"/>
        <w:wordWrap/>
        <w:overflowPunct/>
        <w:autoSpaceDE/>
        <w:autoSpaceDN/>
        <w:bidi w:val="0"/>
        <w:spacing w:line="530" w:lineRule="exact"/>
        <w:rPr>
          <w:rFonts w:hint="default"/>
          <w:color w:val="auto"/>
          <w:highlight w:val="none"/>
        </w:rPr>
      </w:pPr>
      <w:r>
        <w:rPr>
          <w:b/>
          <w:bCs/>
          <w:color w:val="auto"/>
          <w:highlight w:val="none"/>
        </w:rPr>
        <w:t>全面提高教育供给水平</w:t>
      </w:r>
      <w:r>
        <w:rPr>
          <w:rFonts w:hint="eastAsia"/>
          <w:b/>
          <w:bCs/>
          <w:color w:val="auto"/>
          <w:highlight w:val="none"/>
          <w:lang w:eastAsia="zh-CN"/>
        </w:rPr>
        <w:t>。</w:t>
      </w:r>
      <w:r>
        <w:rPr>
          <w:rFonts w:hint="eastAsia"/>
          <w:color w:val="auto"/>
          <w:highlight w:val="none"/>
          <w:lang w:eastAsia="zh-CN"/>
        </w:rPr>
        <w:t>统筹优化教育资源布局，依据学龄人口变化动态调整城乡学校与学位供给，通过整合撤并、拓展升级等措施破解当前“东密西疏”等结构性矛盾。学前教育方面，着力构建普惠为主的公共服务体系，扩大公办园与学位规模，完善民办园收费管理，并保障困难家庭及随迁子女平等入学机会。义务教育阶段，通过名校办分校、对口升学等模式培育新优质学校，推进城乡协同发展与温馨校园建设，同时加快学校项目建设与学制改革，计划至</w:t>
      </w:r>
      <w:r>
        <w:rPr>
          <w:rFonts w:hint="default" w:ascii="Times New Roman" w:hAnsi="Times New Roman" w:cs="Times New Roman"/>
          <w:b w:val="0"/>
          <w:i w:val="0"/>
          <w:color w:val="auto"/>
          <w:highlight w:val="none"/>
          <w:lang w:val="en-US" w:eastAsia="zh-CN"/>
        </w:rPr>
        <w:t>2030</w:t>
      </w:r>
      <w:r>
        <w:rPr>
          <w:rFonts w:hint="eastAsia"/>
          <w:color w:val="auto"/>
          <w:highlight w:val="none"/>
          <w:lang w:val="en-US" w:eastAsia="zh-CN"/>
        </w:rPr>
        <w:t>年</w:t>
      </w:r>
      <w:r>
        <w:rPr>
          <w:rFonts w:hint="eastAsia"/>
          <w:color w:val="auto"/>
          <w:highlight w:val="none"/>
          <w:lang w:eastAsia="zh-CN"/>
        </w:rPr>
        <w:t>组建</w:t>
      </w:r>
      <w:r>
        <w:rPr>
          <w:rFonts w:hint="eastAsia" w:ascii="Times New Roman" w:hAnsi="Times New Roman"/>
          <w:b w:val="0"/>
          <w:i w:val="0"/>
          <w:color w:val="auto"/>
          <w:highlight w:val="none"/>
          <w:lang w:eastAsia="zh-CN"/>
        </w:rPr>
        <w:t>15</w:t>
      </w:r>
      <w:r>
        <w:rPr>
          <w:rFonts w:hint="eastAsia"/>
          <w:color w:val="auto"/>
          <w:highlight w:val="none"/>
          <w:lang w:eastAsia="zh-CN"/>
        </w:rPr>
        <w:t>所九年一贯制学校，持续推动区域教育优质均衡。</w:t>
      </w:r>
    </w:p>
    <w:p>
      <w:pPr>
        <w:pStyle w:val="19"/>
        <w:pageBreakBefore w:val="0"/>
        <w:wordWrap/>
        <w:overflowPunct/>
        <w:autoSpaceDE/>
        <w:autoSpaceDN/>
        <w:bidi w:val="0"/>
        <w:spacing w:line="530" w:lineRule="exact"/>
        <w:rPr>
          <w:rFonts w:hint="eastAsia"/>
          <w:color w:val="auto"/>
          <w:highlight w:val="none"/>
          <w:lang w:eastAsia="zh-CN"/>
        </w:rPr>
      </w:pPr>
      <w:r>
        <w:rPr>
          <w:b/>
          <w:bCs/>
          <w:color w:val="auto"/>
          <w:highlight w:val="none"/>
        </w:rPr>
        <w:t>深化教育体制改革</w:t>
      </w:r>
      <w:r>
        <w:rPr>
          <w:rFonts w:hint="eastAsia"/>
          <w:b/>
          <w:bCs/>
          <w:color w:val="auto"/>
          <w:highlight w:val="none"/>
          <w:lang w:eastAsia="zh-CN"/>
        </w:rPr>
        <w:t>。</w:t>
      </w:r>
      <w:r>
        <w:rPr>
          <w:rFonts w:hint="eastAsia"/>
          <w:color w:val="auto"/>
          <w:highlight w:val="none"/>
          <w:lang w:eastAsia="zh-CN"/>
        </w:rPr>
        <w:t>深化教育领域改革创新，推进课程与教学方式变革，实施研究型、项目化学习及</w:t>
      </w:r>
      <w:r>
        <w:rPr>
          <w:rFonts w:hint="eastAsia" w:ascii="仿宋_GB2312" w:hAnsi="仿宋_GB2312" w:cs="仿宋_GB2312"/>
          <w:color w:val="auto"/>
          <w:highlight w:val="none"/>
          <w:lang w:eastAsia="zh-CN"/>
        </w:rPr>
        <w:t>“</w:t>
      </w:r>
      <w:r>
        <w:rPr>
          <w:rFonts w:hint="default" w:ascii="Times New Roman" w:hAnsi="Times New Roman" w:cs="Times New Roman"/>
          <w:color w:val="auto"/>
          <w:highlight w:val="none"/>
          <w:lang w:eastAsia="zh-CN"/>
        </w:rPr>
        <w:t>LPL”</w:t>
      </w:r>
      <w:r>
        <w:rPr>
          <w:rFonts w:hint="eastAsia"/>
          <w:color w:val="auto"/>
          <w:highlight w:val="none"/>
          <w:lang w:eastAsia="zh-CN"/>
        </w:rPr>
        <w:t>赋能提质等行动，引进名校资源，优化智慧教育，促进区域基础教育质量提升。完善教育评价、督导与招生机制，探索多元集团化办学，“十五五”期间打造五大教育集团，实现全覆盖。同时深化教师队伍建设，加强师德与能力培养，实施教育家精神铸魂强师行动，培育高水平教师队伍。建立师资供需动态测算机制，推进“</w:t>
      </w:r>
      <w:r>
        <w:rPr>
          <w:rFonts w:hint="eastAsia"/>
          <w:color w:val="auto"/>
          <w:highlight w:val="none"/>
          <w:lang w:val="en-US" w:eastAsia="zh-CN"/>
        </w:rPr>
        <w:t>区</w:t>
      </w:r>
      <w:r>
        <w:rPr>
          <w:rFonts w:hint="eastAsia"/>
          <w:color w:val="auto"/>
          <w:highlight w:val="none"/>
          <w:lang w:eastAsia="zh-CN"/>
        </w:rPr>
        <w:t>管校聘”改革，促进教师均衡配置。拓展高层次人才引进渠道，保障教师待遇，增强队伍活力与稳定性。</w:t>
      </w:r>
    </w:p>
    <w:p>
      <w:pPr>
        <w:pStyle w:val="4"/>
        <w:pageBreakBefore w:val="0"/>
        <w:wordWrap/>
        <w:overflowPunct/>
        <w:autoSpaceDE/>
        <w:autoSpaceDN/>
        <w:bidi w:val="0"/>
        <w:spacing w:line="530" w:lineRule="exact"/>
        <w:rPr>
          <w:rFonts w:hint="eastAsia"/>
          <w:color w:val="auto"/>
          <w:highlight w:val="none"/>
          <w:lang w:eastAsia="zh-CN"/>
        </w:rPr>
      </w:pPr>
      <w:bookmarkStart w:id="547" w:name="_Toc1217869537"/>
      <w:r>
        <w:rPr>
          <w:rFonts w:hint="eastAsia"/>
          <w:color w:val="auto"/>
          <w:highlight w:val="none"/>
          <w:lang w:val="en-US" w:eastAsia="zh-CN"/>
        </w:rPr>
        <w:t>推进</w:t>
      </w:r>
      <w:r>
        <w:rPr>
          <w:rStyle w:val="24"/>
          <w:rFonts w:hint="eastAsia" w:ascii="Times New Roman" w:hAnsi="Times New Roman"/>
          <w:b w:val="0"/>
          <w:i w:val="0"/>
          <w:color w:val="auto"/>
          <w:highlight w:val="none"/>
          <w:lang w:val="en-US" w:eastAsia="zh-CN"/>
        </w:rPr>
        <w:t>15</w:t>
      </w:r>
      <w:r>
        <w:rPr>
          <w:rStyle w:val="24"/>
          <w:rFonts w:hint="eastAsia"/>
          <w:color w:val="auto"/>
          <w:highlight w:val="none"/>
          <w:lang w:val="en-US" w:eastAsia="zh-CN"/>
        </w:rPr>
        <w:t>分钟生活圈建设</w:t>
      </w:r>
      <w:bookmarkEnd w:id="547"/>
    </w:p>
    <w:p>
      <w:pPr>
        <w:pStyle w:val="19"/>
        <w:pageBreakBefore w:val="0"/>
        <w:wordWrap/>
        <w:overflowPunct/>
        <w:autoSpaceDE/>
        <w:autoSpaceDN/>
        <w:bidi w:val="0"/>
        <w:spacing w:line="530" w:lineRule="exact"/>
        <w:rPr>
          <w:rFonts w:hint="default"/>
          <w:color w:val="auto"/>
          <w:highlight w:val="none"/>
          <w:lang w:val="en-US" w:eastAsia="zh-CN"/>
        </w:rPr>
      </w:pPr>
      <w:r>
        <w:rPr>
          <w:rFonts w:hint="eastAsia"/>
          <w:b/>
          <w:bCs/>
          <w:color w:val="auto"/>
          <w:highlight w:val="none"/>
          <w:lang w:eastAsia="zh-CN"/>
        </w:rPr>
        <w:t>全面补齐基础便民业态。</w:t>
      </w:r>
      <w:r>
        <w:rPr>
          <w:rFonts w:hint="eastAsia"/>
          <w:color w:val="auto"/>
          <w:highlight w:val="none"/>
          <w:lang w:eastAsia="zh-CN"/>
        </w:rPr>
        <w:t>将按照“缺什么、补什么”的原则，在老旧小区改造中优先配齐便利店、早餐店、菜市场、维修点等基本保障类业态，并利用闲置空间发展社区食堂、增设快递服务设施。通过“一圈一策”的方式，鼓励发展共享办公、共享自习室等新业态，并推动“物业服务+生活服务”转型，将养老、托育、家政等服务延伸至居民身边。</w:t>
      </w:r>
    </w:p>
    <w:p>
      <w:pPr>
        <w:pStyle w:val="19"/>
        <w:pageBreakBefore w:val="0"/>
        <w:wordWrap/>
        <w:overflowPunct/>
        <w:autoSpaceDE/>
        <w:autoSpaceDN/>
        <w:bidi w:val="0"/>
        <w:spacing w:line="530" w:lineRule="exact"/>
        <w:rPr>
          <w:rFonts w:hint="eastAsia"/>
          <w:color w:val="auto"/>
          <w:highlight w:val="none"/>
          <w:lang w:eastAsia="zh-CN"/>
        </w:rPr>
      </w:pPr>
      <w:r>
        <w:rPr>
          <w:rFonts w:hint="eastAsia"/>
          <w:b/>
          <w:bCs/>
          <w:color w:val="auto"/>
          <w:highlight w:val="none"/>
          <w:lang w:eastAsia="zh-CN"/>
        </w:rPr>
        <w:t>推动智慧服务与产业赋能。</w:t>
      </w:r>
      <w:r>
        <w:rPr>
          <w:rFonts w:hint="eastAsia"/>
          <w:color w:val="auto"/>
          <w:highlight w:val="none"/>
          <w:lang w:eastAsia="zh-CN"/>
        </w:rPr>
        <w:t>搭建智慧服务平台，接入本地商户，方便居民查询“小修小补”网点并享受线上预约、送餐上门等服务。生活圈建设将与产业布局相结合，在社区引入共享办公空间，为远程办公与创业者提供支持，促进居民就近就业，形成便民服务与产业协同发展的良性循环。</w:t>
      </w:r>
    </w:p>
    <w:p>
      <w:pPr>
        <w:pStyle w:val="3"/>
        <w:pageBreakBefore w:val="0"/>
        <w:wordWrap/>
        <w:overflowPunct/>
        <w:autoSpaceDE/>
        <w:autoSpaceDN/>
        <w:bidi w:val="0"/>
        <w:spacing w:line="530" w:lineRule="exact"/>
        <w:rPr>
          <w:rFonts w:hint="eastAsia"/>
          <w:color w:val="auto"/>
          <w:highlight w:val="none"/>
        </w:rPr>
      </w:pPr>
      <w:bookmarkStart w:id="548" w:name="_Toc1386516484"/>
      <w:bookmarkStart w:id="549" w:name="_Toc1066668802"/>
      <w:bookmarkStart w:id="550" w:name="_Toc589028829"/>
      <w:r>
        <w:rPr>
          <w:rFonts w:hint="eastAsia"/>
          <w:color w:val="auto"/>
          <w:highlight w:val="none"/>
        </w:rPr>
        <w:t>健全就业增收机制</w:t>
      </w:r>
      <w:bookmarkEnd w:id="548"/>
      <w:bookmarkEnd w:id="549"/>
      <w:bookmarkEnd w:id="550"/>
    </w:p>
    <w:p>
      <w:pPr>
        <w:pStyle w:val="4"/>
        <w:pageBreakBefore w:val="0"/>
        <w:wordWrap/>
        <w:overflowPunct/>
        <w:autoSpaceDE/>
        <w:autoSpaceDN/>
        <w:bidi w:val="0"/>
        <w:spacing w:line="530" w:lineRule="exact"/>
        <w:rPr>
          <w:color w:val="auto"/>
          <w:highlight w:val="none"/>
        </w:rPr>
      </w:pPr>
      <w:bookmarkStart w:id="551" w:name="_Toc309070058"/>
      <w:bookmarkStart w:id="552" w:name="_Toc2055399980"/>
      <w:r>
        <w:rPr>
          <w:color w:val="auto"/>
          <w:highlight w:val="none"/>
        </w:rPr>
        <w:t>大力提升城乡居民收入水平</w:t>
      </w:r>
      <w:bookmarkEnd w:id="551"/>
      <w:bookmarkEnd w:id="552"/>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完善收入分配政策。</w:t>
      </w:r>
      <w:r>
        <w:rPr>
          <w:rFonts w:hint="default" w:ascii="Times New Roman" w:hAnsi="Times New Roman"/>
          <w:color w:val="auto"/>
          <w:szCs w:val="32"/>
          <w:highlight w:val="none"/>
          <w:lang w:bidi="ar"/>
        </w:rPr>
        <w:t>坚持按劳分配原则，深化推进促进公平、体现效率的收入分配体系建设，充分发挥市场机制在要素配置和初次分配中的决定性作用，完善再分配机制，加大税收、社保、转移支付等调节力度，发挥第三次分配作用，优化收入和财富分配。鼓励守法勤劳致富，保护合法收入，取缔非法收入，合理调节过高收入，缩小收入分配差距。深化事业单位收入分配制度改革，深化企业内部薪酬分配，完善按要素分配的体制机制。</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拓展城乡居民增收渠道。</w:t>
      </w:r>
      <w:r>
        <w:rPr>
          <w:rFonts w:hint="default" w:ascii="Times New Roman" w:hAnsi="Times New Roman"/>
          <w:color w:val="auto"/>
          <w:szCs w:val="32"/>
          <w:highlight w:val="none"/>
          <w:lang w:bidi="ar"/>
        </w:rPr>
        <w:t>实施居民收入水平提升工程，多渠道增加城乡居民财产性收入。实施农民收入倍增计划，加强农村集体经济组织建设，鼓励农民利用电子商务开展多种经营，提高农民经营性、工资性、财产性收入。切实增加低收入者收入，培育壮大中等收入群体。鼓励企业实施员工持股计划，拓宽股息、红利等增收渠道。</w:t>
      </w:r>
    </w:p>
    <w:p>
      <w:pPr>
        <w:pStyle w:val="4"/>
        <w:pageBreakBefore w:val="0"/>
        <w:wordWrap/>
        <w:overflowPunct/>
        <w:autoSpaceDE/>
        <w:autoSpaceDN/>
        <w:bidi w:val="0"/>
        <w:spacing w:line="530" w:lineRule="exact"/>
        <w:rPr>
          <w:color w:val="auto"/>
          <w:highlight w:val="none"/>
        </w:rPr>
      </w:pPr>
      <w:bookmarkStart w:id="553" w:name="_Toc1925006360"/>
      <w:bookmarkStart w:id="554" w:name="_Toc685518218"/>
      <w:r>
        <w:rPr>
          <w:color w:val="auto"/>
          <w:highlight w:val="none"/>
        </w:rPr>
        <w:t>促进高质量充分就业</w:t>
      </w:r>
      <w:bookmarkEnd w:id="553"/>
      <w:bookmarkEnd w:id="554"/>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健全就业增收机制。</w:t>
      </w:r>
      <w:r>
        <w:rPr>
          <w:rFonts w:hint="default" w:ascii="Times New Roman" w:hAnsi="Times New Roman"/>
          <w:color w:val="auto"/>
          <w:szCs w:val="32"/>
          <w:highlight w:val="none"/>
          <w:lang w:bidi="ar"/>
        </w:rPr>
        <w:t>千方百计稳定和扩大就业，突出就业优先导向，提升就业容量和质量，保障劳动者待遇和权益。支持文旅、商贸、互联网、物流等新业态新模式，带动新的就业增长点。重点帮扶高校毕业生、农村劳动力、就业困难人员等群体就业，织牢重点群体就业保障网。坚持创业带动就业机制，鼓励大众创业万众创新，支持小微企业、个体工商户发展，拓宽灵活就业发展渠道，推动营造宽松便利包容的创业环境。</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十五五</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期间，城镇新增就业</w:t>
      </w:r>
      <w:r>
        <w:rPr>
          <w:rFonts w:hint="default" w:ascii="Times New Roman" w:hAnsi="Times New Roman"/>
          <w:b w:val="0"/>
          <w:i w:val="0"/>
          <w:color w:val="auto"/>
          <w:szCs w:val="32"/>
          <w:highlight w:val="none"/>
          <w:lang w:bidi="ar"/>
        </w:rPr>
        <w:t>4</w:t>
      </w:r>
      <w:r>
        <w:rPr>
          <w:rFonts w:hint="default" w:ascii="Times New Roman" w:hAnsi="Times New Roman"/>
          <w:color w:val="auto"/>
          <w:szCs w:val="32"/>
          <w:highlight w:val="none"/>
          <w:lang w:bidi="ar"/>
        </w:rPr>
        <w:t>万人左右。</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hint="default" w:ascii="Times New Roman" w:hAnsi="Times New Roman"/>
          <w:b/>
          <w:bCs/>
          <w:color w:val="auto"/>
          <w:szCs w:val="32"/>
          <w:highlight w:val="none"/>
          <w:lang w:bidi="ar"/>
        </w:rPr>
        <w:t>统筹城乡就业政策体系。</w:t>
      </w:r>
      <w:r>
        <w:rPr>
          <w:rFonts w:hint="default" w:ascii="Times New Roman" w:hAnsi="Times New Roman"/>
          <w:color w:val="auto"/>
          <w:szCs w:val="32"/>
          <w:highlight w:val="none"/>
          <w:lang w:bidi="ar"/>
        </w:rPr>
        <w:t>落实高质量充分就业促进机制和统一规范的人力资源市场体系，提升人力资源市场供求匹配能力，增强人力资源流动，推动创造新的</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人口红利</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。健全覆盖城镇、产业、乡村社区的</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安心就业</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公共服务体系、劳动关系协调机制、补贴性职业技能培训制度。全面优化</w:t>
      </w:r>
      <w:r>
        <w:rPr>
          <w:rFonts w:ascii="Times New Roman" w:hAnsi="Times New Roman"/>
          <w:color w:val="auto"/>
          <w:szCs w:val="32"/>
          <w:highlight w:val="none"/>
          <w:lang w:bidi="ar"/>
        </w:rPr>
        <w:t>“</w:t>
      </w:r>
      <w:r>
        <w:rPr>
          <w:rFonts w:hint="default" w:ascii="Times New Roman" w:hAnsi="Times New Roman"/>
          <w:color w:val="auto"/>
          <w:szCs w:val="32"/>
          <w:highlight w:val="none"/>
          <w:lang w:bidi="ar"/>
        </w:rPr>
        <w:t>互联网＋公共就业服务</w:t>
      </w:r>
      <w:r>
        <w:rPr>
          <w:rFonts w:hint="eastAsia" w:ascii="仿宋_GB2312" w:hAnsi="仿宋_GB2312"/>
          <w:color w:val="auto"/>
          <w:szCs w:val="32"/>
          <w:highlight w:val="none"/>
          <w:lang w:bidi="ar"/>
        </w:rPr>
        <w:t>”</w:t>
      </w:r>
      <w:r>
        <w:rPr>
          <w:rFonts w:hint="default" w:ascii="Times New Roman" w:hAnsi="Times New Roman"/>
          <w:color w:val="auto"/>
          <w:szCs w:val="32"/>
          <w:highlight w:val="none"/>
          <w:lang w:bidi="ar"/>
        </w:rPr>
        <w:t>，建设就业智慧服务平台。</w:t>
      </w:r>
    </w:p>
    <w:p>
      <w:pPr>
        <w:pStyle w:val="19"/>
        <w:pageBreakBefore w:val="0"/>
        <w:wordWrap/>
        <w:overflowPunct/>
        <w:autoSpaceDE/>
        <w:autoSpaceDN/>
        <w:bidi w:val="0"/>
        <w:spacing w:line="530" w:lineRule="exact"/>
        <w:ind w:firstLine="643"/>
        <w:rPr>
          <w:rFonts w:hint="eastAsia"/>
          <w:color w:val="auto"/>
          <w:highlight w:val="none"/>
        </w:rPr>
      </w:pPr>
      <w:r>
        <w:rPr>
          <w:rFonts w:hint="default" w:ascii="Times New Roman" w:hAnsi="Times New Roman"/>
          <w:b/>
          <w:bCs/>
          <w:color w:val="auto"/>
          <w:szCs w:val="32"/>
          <w:highlight w:val="none"/>
          <w:lang w:bidi="ar"/>
        </w:rPr>
        <w:t>促进机会公平制度机制。</w:t>
      </w:r>
      <w:r>
        <w:rPr>
          <w:rFonts w:hint="default" w:ascii="Times New Roman" w:hAnsi="Times New Roman"/>
          <w:color w:val="auto"/>
          <w:szCs w:val="32"/>
          <w:highlight w:val="none"/>
          <w:lang w:bidi="ar"/>
        </w:rPr>
        <w:t>营造公平就业环境，依法纠正身份、性别等就业歧视现象，保障城乡劳动者享有公平就业权利。建立完善失业风险预警措施，健全就业困难人员就业援助长效机制，对难以实现市场就业的，可通过公益性岗位托底安置，确保零就业家庭动态清零。完善劳动人事争议调处机制，加快仲裁中心建设，有效解决劳动争议问题。强化欠薪风险预警，健全工资支付体系，搭建劳动保障监督监管机制，依法保障劳动者合法权益。</w:t>
      </w:r>
    </w:p>
    <w:p>
      <w:pPr>
        <w:pStyle w:val="3"/>
        <w:pageBreakBefore w:val="0"/>
        <w:wordWrap/>
        <w:overflowPunct/>
        <w:autoSpaceDE/>
        <w:autoSpaceDN/>
        <w:bidi w:val="0"/>
        <w:spacing w:line="530" w:lineRule="exact"/>
        <w:rPr>
          <w:rFonts w:hint="eastAsia"/>
          <w:color w:val="auto"/>
          <w:highlight w:val="none"/>
        </w:rPr>
      </w:pPr>
      <w:bookmarkStart w:id="555" w:name="_Toc254923771"/>
      <w:bookmarkStart w:id="556" w:name="_Toc1740750465"/>
      <w:bookmarkStart w:id="557" w:name="_Toc837492991"/>
      <w:r>
        <w:rPr>
          <w:rFonts w:hint="eastAsia"/>
          <w:color w:val="auto"/>
          <w:highlight w:val="none"/>
        </w:rPr>
        <w:t>加大社会保障力度</w:t>
      </w:r>
      <w:bookmarkEnd w:id="555"/>
      <w:bookmarkEnd w:id="556"/>
      <w:bookmarkEnd w:id="557"/>
    </w:p>
    <w:p>
      <w:pPr>
        <w:pStyle w:val="4"/>
        <w:pageBreakBefore w:val="0"/>
        <w:wordWrap/>
        <w:overflowPunct/>
        <w:autoSpaceDE/>
        <w:autoSpaceDN/>
        <w:bidi w:val="0"/>
        <w:spacing w:line="530" w:lineRule="exact"/>
        <w:rPr>
          <w:color w:val="auto"/>
          <w:highlight w:val="none"/>
        </w:rPr>
      </w:pPr>
      <w:bookmarkStart w:id="558" w:name="_Toc1623342174"/>
      <w:bookmarkStart w:id="559" w:name="_Toc273943432"/>
      <w:r>
        <w:rPr>
          <w:color w:val="auto"/>
          <w:highlight w:val="none"/>
        </w:rPr>
        <w:t>完善社会保险体系</w:t>
      </w:r>
      <w:bookmarkEnd w:id="558"/>
      <w:bookmarkEnd w:id="559"/>
    </w:p>
    <w:p>
      <w:pPr>
        <w:pStyle w:val="19"/>
        <w:pageBreakBefore w:val="0"/>
        <w:wordWrap/>
        <w:overflowPunct/>
        <w:autoSpaceDE/>
        <w:autoSpaceDN/>
        <w:bidi w:val="0"/>
        <w:spacing w:line="530" w:lineRule="exact"/>
        <w:ind w:firstLine="643"/>
        <w:rPr>
          <w:rFonts w:hint="eastAsia" w:ascii="Times New Roman" w:hAnsi="Times New Roman" w:cs="Times New Roman"/>
          <w:b w:val="0"/>
          <w:bCs w:val="0"/>
          <w:color w:val="auto"/>
          <w:kern w:val="0"/>
          <w:szCs w:val="32"/>
          <w:highlight w:val="none"/>
          <w:lang w:bidi="ar"/>
        </w:rPr>
      </w:pPr>
      <w:r>
        <w:rPr>
          <w:rFonts w:hint="eastAsia" w:ascii="Times New Roman" w:hAnsi="Times New Roman" w:cs="Times New Roman"/>
          <w:b/>
          <w:bCs/>
          <w:color w:val="auto"/>
          <w:kern w:val="0"/>
          <w:szCs w:val="32"/>
          <w:highlight w:val="none"/>
          <w:lang w:bidi="ar"/>
        </w:rPr>
        <w:t>构建多层次养老保险体系。</w:t>
      </w:r>
      <w:r>
        <w:rPr>
          <w:rFonts w:hint="eastAsia" w:ascii="Times New Roman" w:hAnsi="Times New Roman" w:cs="Times New Roman"/>
          <w:b w:val="0"/>
          <w:bCs w:val="0"/>
          <w:color w:val="auto"/>
          <w:kern w:val="0"/>
          <w:szCs w:val="32"/>
          <w:highlight w:val="none"/>
          <w:lang w:bidi="ar"/>
        </w:rPr>
        <w:t>严格执行城乡居民养老保险制度，按规定落实基础养老金正常调整机制，扎实推进事业单位养老保险及职业年金政策落地运转，认真落实渐进式延迟法定退休年龄政策。深入推进全民参保计划，重点聚焦未参保人员，全力推动实现法定人员社会保障全覆盖。</w:t>
      </w:r>
    </w:p>
    <w:p>
      <w:pPr>
        <w:pStyle w:val="19"/>
        <w:pageBreakBefore w:val="0"/>
        <w:wordWrap/>
        <w:overflowPunct/>
        <w:autoSpaceDE/>
        <w:autoSpaceDN/>
        <w:bidi w:val="0"/>
        <w:spacing w:line="530" w:lineRule="exact"/>
        <w:ind w:firstLine="643"/>
        <w:rPr>
          <w:rFonts w:hint="eastAsia" w:ascii="Times New Roman" w:hAnsi="Times New Roman" w:cs="Times New Roman"/>
          <w:b w:val="0"/>
          <w:bCs w:val="0"/>
          <w:color w:val="auto"/>
          <w:kern w:val="0"/>
          <w:szCs w:val="32"/>
          <w:highlight w:val="none"/>
          <w:lang w:bidi="ar"/>
        </w:rPr>
      </w:pPr>
      <w:r>
        <w:rPr>
          <w:rFonts w:hint="eastAsia" w:ascii="Times New Roman" w:hAnsi="Times New Roman" w:cs="Times New Roman"/>
          <w:b/>
          <w:bCs/>
          <w:color w:val="auto"/>
          <w:kern w:val="0"/>
          <w:szCs w:val="32"/>
          <w:highlight w:val="none"/>
          <w:lang w:bidi="ar"/>
        </w:rPr>
        <w:t>完善多层次医疗保险体系。</w:t>
      </w:r>
      <w:r>
        <w:rPr>
          <w:rFonts w:hint="eastAsia" w:ascii="Times New Roman" w:hAnsi="Times New Roman" w:cs="Times New Roman"/>
          <w:b w:val="0"/>
          <w:bCs w:val="0"/>
          <w:color w:val="auto"/>
          <w:kern w:val="0"/>
          <w:szCs w:val="32"/>
          <w:highlight w:val="none"/>
          <w:lang w:bidi="ar"/>
        </w:rPr>
        <w:t>履行医保基金监管职责，维护基金安全运行，对辖区内医保定点服务机构及纳入医保支付范围的医疗医药服务行为实施监督管理，为辖区医疗保障工作平稳有序开展提供保障。提高工伤认定工作效率，压缩办理时限。落实并优化工伤认定集体讨论制度。</w:t>
      </w:r>
    </w:p>
    <w:p>
      <w:pPr>
        <w:pStyle w:val="19"/>
        <w:pageBreakBefore w:val="0"/>
        <w:wordWrap/>
        <w:overflowPunct/>
        <w:autoSpaceDE/>
        <w:autoSpaceDN/>
        <w:bidi w:val="0"/>
        <w:spacing w:line="530" w:lineRule="exact"/>
        <w:ind w:firstLine="643"/>
        <w:rPr>
          <w:rFonts w:hint="eastAsia" w:ascii="Times New Roman" w:hAnsi="Times New Roman" w:cs="Times New Roman"/>
          <w:b/>
          <w:bCs/>
          <w:color w:val="auto"/>
          <w:kern w:val="0"/>
          <w:szCs w:val="32"/>
          <w:highlight w:val="none"/>
          <w:lang w:bidi="ar"/>
        </w:rPr>
      </w:pPr>
      <w:r>
        <w:rPr>
          <w:rFonts w:hint="eastAsia" w:ascii="Times New Roman" w:hAnsi="Times New Roman" w:cs="Times New Roman"/>
          <w:b/>
          <w:bCs/>
          <w:color w:val="auto"/>
          <w:kern w:val="0"/>
          <w:szCs w:val="32"/>
          <w:highlight w:val="none"/>
          <w:lang w:bidi="ar"/>
        </w:rPr>
        <w:t>优化社会保险管理服务体系。</w:t>
      </w:r>
      <w:r>
        <w:rPr>
          <w:rFonts w:hint="eastAsia" w:ascii="Times New Roman" w:hAnsi="Times New Roman" w:cs="Times New Roman"/>
          <w:b w:val="0"/>
          <w:bCs w:val="0"/>
          <w:color w:val="auto"/>
          <w:kern w:val="0"/>
          <w:szCs w:val="32"/>
          <w:highlight w:val="none"/>
          <w:lang w:bidi="ar"/>
        </w:rPr>
        <w:t>落实以预防失业、促进就业、保障待遇为核心的失业保险政策。细化灵活就业人员、退役军人、农民等重点群体参保服务举措，简化参保登记流程、提供针对性政策宣讲。优化辖区内社会保险经办管理服务，推进构建以社保卡为载体的“一卡通”服务管理模式，加快推进管理服务信息化智能化。严格落实社会保险相关管理要求，加强辖区内社保基金运行监管、优化经办服务效能。</w:t>
      </w:r>
    </w:p>
    <w:p>
      <w:pPr>
        <w:pStyle w:val="4"/>
        <w:pageBreakBefore w:val="0"/>
        <w:wordWrap/>
        <w:overflowPunct/>
        <w:autoSpaceDE/>
        <w:autoSpaceDN/>
        <w:bidi w:val="0"/>
        <w:spacing w:line="530" w:lineRule="exact"/>
        <w:rPr>
          <w:color w:val="auto"/>
          <w:highlight w:val="none"/>
        </w:rPr>
      </w:pPr>
      <w:bookmarkStart w:id="560" w:name="_Toc2109806103"/>
      <w:bookmarkStart w:id="561" w:name="_Toc1879666930"/>
      <w:r>
        <w:rPr>
          <w:color w:val="auto"/>
          <w:highlight w:val="none"/>
        </w:rPr>
        <w:t>优化住房保障制度</w:t>
      </w:r>
      <w:bookmarkEnd w:id="560"/>
      <w:bookmarkEnd w:id="561"/>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落实住房保障体系建设要求</w:t>
      </w:r>
      <w:r>
        <w:rPr>
          <w:rFonts w:hint="eastAsia" w:ascii="Times New Roman" w:hAnsi="Times New Roman" w:cs="Times New Roman"/>
          <w:b/>
          <w:bCs/>
          <w:color w:val="auto"/>
          <w:kern w:val="0"/>
          <w:szCs w:val="32"/>
          <w:highlight w:val="none"/>
          <w:lang w:eastAsia="zh-CN" w:bidi="ar"/>
        </w:rPr>
        <w:t>。</w:t>
      </w:r>
      <w:r>
        <w:rPr>
          <w:rFonts w:hint="default" w:ascii="Times New Roman" w:hAnsi="Times New Roman" w:cs="Times New Roman"/>
          <w:b w:val="0"/>
          <w:bCs w:val="0"/>
          <w:color w:val="auto"/>
          <w:kern w:val="0"/>
          <w:szCs w:val="32"/>
          <w:highlight w:val="none"/>
          <w:lang w:bidi="ar"/>
        </w:rPr>
        <w:t>加快推进公租房、保障性租赁住房及公租房相关政策落地，推动构建多主体供给、多渠道保障、租购并举的住房制度。加大保障性住房供给力度，加快配售型保障性住房项目建设进度，优先保障低保家庭等困难群体，切实解决其住房难题。加强辖区内住房租赁市场监管，规范租赁双方权利义务、畅通纠纷调解渠道，严格落实长租房支持政策。强化住房公积金缴存使用政策执行，优化提取办理流程，推出“一网通办”等便民举措。</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促进房地产平稳健康发展。</w:t>
      </w:r>
      <w:r>
        <w:rPr>
          <w:rFonts w:hint="default" w:ascii="Times New Roman" w:hAnsi="Times New Roman" w:cs="Times New Roman"/>
          <w:b w:val="0"/>
          <w:bCs w:val="0"/>
          <w:color w:val="auto"/>
          <w:kern w:val="0"/>
          <w:szCs w:val="32"/>
          <w:highlight w:val="none"/>
          <w:lang w:bidi="ar"/>
        </w:rPr>
        <w:t>严格执行房地产市场调控措施，主动适配当前房地产市场供求关系变化。配合做好辖区内土地供应结构优化，优先保障刚需住房用地供应。引导企业建设“好房子”，支持城乡居民多样化改善性住房需求。深入实施保交房攻坚战，切实维护购房人合法权益。有序推进现房销售相关工作，严格落实房地产信贷支持政策，协助做好上级政策宣传和对接服务。深化物业管理改革，推动物业服务管理与社区发展治理有机融合，畅通居民投诉反馈渠道，提升物业服务质量和居民满意度。</w:t>
      </w:r>
    </w:p>
    <w:p>
      <w:pPr>
        <w:pStyle w:val="4"/>
        <w:pageBreakBefore w:val="0"/>
        <w:wordWrap/>
        <w:overflowPunct/>
        <w:autoSpaceDE/>
        <w:autoSpaceDN/>
        <w:bidi w:val="0"/>
        <w:spacing w:line="530" w:lineRule="exact"/>
        <w:rPr>
          <w:color w:val="auto"/>
          <w:highlight w:val="none"/>
        </w:rPr>
      </w:pPr>
      <w:bookmarkStart w:id="562" w:name="_Toc261193857"/>
      <w:bookmarkStart w:id="563" w:name="_Toc2077645140"/>
      <w:r>
        <w:rPr>
          <w:color w:val="auto"/>
          <w:highlight w:val="none"/>
        </w:rPr>
        <w:t>健全社会救助体系</w:t>
      </w:r>
      <w:bookmarkEnd w:id="562"/>
      <w:bookmarkEnd w:id="563"/>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落实综合救助与社会福利制度。</w:t>
      </w:r>
      <w:r>
        <w:rPr>
          <w:rFonts w:hint="default" w:ascii="Times New Roman" w:hAnsi="Times New Roman" w:cs="Times New Roman"/>
          <w:b w:val="0"/>
          <w:bCs w:val="0"/>
          <w:color w:val="auto"/>
          <w:kern w:val="0"/>
          <w:szCs w:val="32"/>
          <w:highlight w:val="none"/>
          <w:lang w:bidi="ar"/>
        </w:rPr>
        <w:t>推动构建政府主导、社会参与、政策衔接、兜底有力的综合救助体系，全面提升困难群体保障水平。严格执行社会救助、保障标准与物价上涨挂钩联动机制；加强低收入人口动态监测，精准落实医疗、教育、住房、就业等专项救助政策，积极推广“物质+服务”救助模式。常态化开展“寒冬送温暖”“夏季送清凉”等专项救助行动，切实保障流浪乞讨人员和临时遇困人员合法权益。加快补齐辖区内殡葬设施短板，优化公益性殡葬服务供给，推动实现殡仪服务优质均衡。</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完善退役军人服务保障。</w:t>
      </w:r>
      <w:r>
        <w:rPr>
          <w:rFonts w:hint="default" w:ascii="Times New Roman" w:hAnsi="Times New Roman" w:cs="Times New Roman"/>
          <w:b w:val="0"/>
          <w:bCs w:val="0"/>
          <w:color w:val="auto"/>
          <w:kern w:val="0"/>
          <w:szCs w:val="32"/>
          <w:highlight w:val="none"/>
          <w:lang w:bidi="ar"/>
        </w:rPr>
        <w:t>严格落实退役军人服务保障相关政策，全面提升服务保障水平，切实维护退役军人合法权益。优化退役军人移交安置流程，精准对接岗位需求与退役军人技能特长，确保人岗相适；严格落实退役军人待遇保障及抚恤优待政策，确保抚恤金、优待金等按时足额发放。聚焦伤病残及生活困难退役军人，整合医疗、就业、救助等资源提供个性化帮扶援助。健全退役军人表彰激励机制，常态化开展先进典型选树宣传。深化双拥共建工作，主动对接驻区部队需求，组织开展军地共建活动，营造尊崇军人、关爱军属的浓厚社会氛围。</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推动慈善事业健康发展。</w:t>
      </w:r>
      <w:r>
        <w:rPr>
          <w:rFonts w:hint="default" w:ascii="Times New Roman" w:hAnsi="Times New Roman" w:cs="Times New Roman"/>
          <w:b w:val="0"/>
          <w:bCs w:val="0"/>
          <w:color w:val="auto"/>
          <w:kern w:val="0"/>
          <w:szCs w:val="32"/>
          <w:highlight w:val="none"/>
          <w:lang w:bidi="ar"/>
        </w:rPr>
        <w:t>加强辖区内慈善组织监督管理，严格执行慈善组织信息公开、财产保值增值等配套要求，确保慈善活动全程透明。以依法兴善为导向，简化辖区内慈善组织登记备案流程，积极支持慈善组织发展壮大；规范互联网慈善管理，协助做好线上募捐平台监管对接，推动互联网慈善流程标准化、资金监管全程化。强化慈善宣传引导，引导社会力量依法行善，鼓励企业、社会组织、个人等多方协作参与慈善事业，营造全民慈善的良好氛围。</w:t>
      </w:r>
    </w:p>
    <w:p>
      <w:pPr>
        <w:pStyle w:val="4"/>
        <w:pageBreakBefore w:val="0"/>
        <w:wordWrap/>
        <w:overflowPunct/>
        <w:autoSpaceDE/>
        <w:autoSpaceDN/>
        <w:bidi w:val="0"/>
        <w:spacing w:line="530" w:lineRule="exact"/>
        <w:rPr>
          <w:color w:val="auto"/>
          <w:highlight w:val="none"/>
        </w:rPr>
      </w:pPr>
      <w:bookmarkStart w:id="564" w:name="_Toc897767760"/>
      <w:bookmarkStart w:id="565" w:name="_Toc428580131"/>
      <w:r>
        <w:rPr>
          <w:color w:val="auto"/>
          <w:highlight w:val="none"/>
        </w:rPr>
        <w:t>完善生育支持体系</w:t>
      </w:r>
      <w:bookmarkEnd w:id="564"/>
      <w:bookmarkEnd w:id="565"/>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完善普惠生育服务体系。</w:t>
      </w:r>
      <w:r>
        <w:rPr>
          <w:rFonts w:hint="default" w:ascii="Times New Roman" w:hAnsi="Times New Roman" w:cs="Times New Roman"/>
          <w:b w:val="0"/>
          <w:bCs w:val="0"/>
          <w:color w:val="auto"/>
          <w:kern w:val="0"/>
          <w:szCs w:val="32"/>
          <w:highlight w:val="none"/>
          <w:lang w:bidi="ar"/>
        </w:rPr>
        <w:t>严格落实上级生育支持政策，全力构建生育友好型社会环境。提升优生优育服务质效，优化婚前孕前医学检查、孕期保健、产后康复等全流程服务，提高出生人口素质。聚焦“降低生育、养育、教育综合成本”核心目标，落实生育医疗费用报销、生育津贴发放等政策，探索发放育儿补贴。通过政策宣讲、典型引导等方式营造生育友好氛围，引导辖区生育水平适度提升，增进家庭和谐幸福。</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推动托幼一体化建设。</w:t>
      </w:r>
      <w:r>
        <w:rPr>
          <w:rFonts w:hint="default" w:ascii="Times New Roman" w:hAnsi="Times New Roman" w:cs="Times New Roman"/>
          <w:b w:val="0"/>
          <w:bCs w:val="0"/>
          <w:color w:val="auto"/>
          <w:kern w:val="0"/>
          <w:szCs w:val="32"/>
          <w:highlight w:val="none"/>
          <w:lang w:bidi="ar"/>
        </w:rPr>
        <w:t>扎实推进0—6岁幼儿托育服务体系建设，推动建设一批功能完善、服务规范的示范性托育服务机构。积极推动托幼资源融合，简化相关备案流程，鼓励有条件的幼儿园拓展服务功能、开办托儿班。多元拓展托育供给渠道，重点发展社区嵌入式托育点，向辖区家庭提供便捷可及的普惠托育服务。</w:t>
      </w:r>
    </w:p>
    <w:p>
      <w:pPr>
        <w:pStyle w:val="4"/>
        <w:pageBreakBefore w:val="0"/>
        <w:wordWrap/>
        <w:overflowPunct/>
        <w:autoSpaceDE/>
        <w:autoSpaceDN/>
        <w:bidi w:val="0"/>
        <w:spacing w:line="530" w:lineRule="exact"/>
        <w:rPr>
          <w:color w:val="auto"/>
          <w:highlight w:val="none"/>
        </w:rPr>
      </w:pPr>
      <w:bookmarkStart w:id="566" w:name="_Toc486109679"/>
      <w:bookmarkStart w:id="567" w:name="_Toc562638498"/>
      <w:r>
        <w:rPr>
          <w:color w:val="auto"/>
          <w:highlight w:val="none"/>
        </w:rPr>
        <w:t>积极应对人口老龄化</w:t>
      </w:r>
      <w:bookmarkEnd w:id="566"/>
      <w:bookmarkEnd w:id="567"/>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完善老龄工作体制机制。</w:t>
      </w:r>
      <w:r>
        <w:rPr>
          <w:rFonts w:hint="default" w:ascii="Times New Roman" w:hAnsi="Times New Roman" w:cs="Times New Roman"/>
          <w:b w:val="0"/>
          <w:bCs w:val="0"/>
          <w:color w:val="auto"/>
          <w:kern w:val="0"/>
          <w:szCs w:val="32"/>
          <w:highlight w:val="none"/>
          <w:lang w:bidi="ar"/>
        </w:rPr>
        <w:t>健全老龄工作机构，贯彻老龄法规和政策，明确老龄工作任务和措施，统筹推进老龄事业协调发展。推动老年人高龄生活津贴等优待政策实施，协调解决老年人运用智能技术困难问题。保障老年人合法权益，加强老年人权益保障相关政策措施落实，营造孝老敬老社会环境。</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着力构建养老服务体系。</w:t>
      </w:r>
      <w:r>
        <w:rPr>
          <w:rFonts w:hint="default" w:ascii="Times New Roman" w:hAnsi="Times New Roman" w:cs="Times New Roman"/>
          <w:b w:val="0"/>
          <w:bCs w:val="0"/>
          <w:color w:val="auto"/>
          <w:kern w:val="0"/>
          <w:szCs w:val="32"/>
          <w:highlight w:val="none"/>
          <w:lang w:bidi="ar"/>
        </w:rPr>
        <w:t>完善养老服务保障制度，改革老年人补贴制度，提高补贴精准度和有效性，兜住特殊困难老年人基本养老服务保障底线。发展银发经济。加快养老服务数字化转型，推动兼顾老年人需求的友好型智慧社会。</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提升养老服务适配度。</w:t>
      </w:r>
      <w:r>
        <w:rPr>
          <w:rFonts w:hint="default" w:ascii="Times New Roman" w:hAnsi="Times New Roman" w:cs="Times New Roman"/>
          <w:b w:val="0"/>
          <w:bCs w:val="0"/>
          <w:color w:val="auto"/>
          <w:kern w:val="0"/>
          <w:szCs w:val="32"/>
          <w:highlight w:val="none"/>
          <w:lang w:bidi="ar"/>
        </w:rPr>
        <w:t>优化基本养老服务供给，发展普惠优质养老服务和互助式养老模式，推动“家政+养老”融合，强化养老服务设施配套，全面推进嵌入式养老服务，推动新建居住区按标准配建、老旧小区按标准补齐居家社区养老服务设施。丰富和完善助医、助浴、助行等服务内容。鼓励社会资本参与养老服务，采取“公建+民营”形式运营公办养老机构，聚焦兜底保障，重点扩面提质，民营养老服务精准对接低、中、高端需求，构建差异化布局。</w:t>
      </w:r>
    </w:p>
    <w:p>
      <w:pPr>
        <w:pStyle w:val="4"/>
        <w:pageBreakBefore w:val="0"/>
        <w:wordWrap/>
        <w:overflowPunct/>
        <w:autoSpaceDE/>
        <w:autoSpaceDN/>
        <w:bidi w:val="0"/>
        <w:spacing w:line="530" w:lineRule="exact"/>
        <w:jc w:val="right"/>
        <w:rPr>
          <w:color w:val="auto"/>
          <w:highlight w:val="none"/>
        </w:rPr>
      </w:pPr>
      <w:bookmarkStart w:id="568" w:name="_Toc894738145"/>
      <w:bookmarkStart w:id="569" w:name="_Toc1017581765"/>
      <w:r>
        <w:rPr>
          <w:color w:val="auto"/>
          <w:highlight w:val="none"/>
        </w:rPr>
        <w:t>保障妇女、未成年人</w:t>
      </w:r>
      <w:r>
        <w:rPr>
          <w:rFonts w:hint="eastAsia"/>
          <w:color w:val="auto"/>
          <w:highlight w:val="none"/>
          <w:lang w:eastAsia="zh-CN"/>
        </w:rPr>
        <w:t>、</w:t>
      </w:r>
      <w:r>
        <w:rPr>
          <w:color w:val="auto"/>
          <w:highlight w:val="none"/>
        </w:rPr>
        <w:t>残疾人</w:t>
      </w:r>
      <w:r>
        <w:rPr>
          <w:rFonts w:hint="eastAsia"/>
          <w:color w:val="auto"/>
          <w:highlight w:val="none"/>
          <w:lang w:val="en-US" w:eastAsia="zh-CN"/>
        </w:rPr>
        <w:t>和青年</w:t>
      </w:r>
      <w:r>
        <w:rPr>
          <w:color w:val="auto"/>
          <w:highlight w:val="none"/>
        </w:rPr>
        <w:t>群体权益</w:t>
      </w:r>
      <w:bookmarkEnd w:id="568"/>
      <w:bookmarkEnd w:id="569"/>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b/>
          <w:bCs/>
          <w:color w:val="auto"/>
          <w:szCs w:val="32"/>
          <w:highlight w:val="none"/>
          <w:lang w:bidi="ar"/>
        </w:rPr>
        <w:t>促进妇女全面发展。</w:t>
      </w:r>
      <w:r>
        <w:rPr>
          <w:rFonts w:hint="default" w:ascii="Times New Roman" w:hAnsi="Times New Roman" w:cs="Times New Roman"/>
          <w:b w:val="0"/>
          <w:bCs w:val="0"/>
          <w:color w:val="auto"/>
          <w:kern w:val="0"/>
          <w:szCs w:val="32"/>
          <w:highlight w:val="none"/>
          <w:lang w:bidi="ar"/>
        </w:rPr>
        <w:t>提高妇女整体素质和健康水平，健全妇女关爱服务体系，运用职业技能培训、创业扶持等途径，增强妇女就业创业能力，提升妇女在经济社会各领域的参与度与获得感。完善妇幼保健和生殖健康服务体系，加强妇女常见病筛查与“两癌”防治，全面提升妇女健康水平。健全妇女关爱服务体系，重点关注单亲母亲、困境妇女等特殊群体，提供法律援助、心理疏导、生活帮扶等多元化服务。</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保障未成年人权益。</w:t>
      </w:r>
      <w:r>
        <w:rPr>
          <w:rFonts w:hint="default" w:ascii="Times New Roman" w:hAnsi="Times New Roman" w:cs="Times New Roman"/>
          <w:b w:val="0"/>
          <w:bCs w:val="0"/>
          <w:color w:val="auto"/>
          <w:kern w:val="0"/>
          <w:szCs w:val="32"/>
          <w:highlight w:val="none"/>
          <w:lang w:bidi="ar"/>
        </w:rPr>
        <w:t>发展适度普惠儿童福利制度，完善未成年人关爱、留守儿童服务、未成年人违法犯罪预防等服务体系，建设儿童友好型城区。增强孤儿成长保障力，建立孤儿学业追踪体系，落实从学前到高等教育的资助政策，联合辖区学校打造“学业辅导+心理疏导”双轨服务模式。建立孤儿健康档案，提供定期体检、大病救治绿色通道。搭建社会关爱平台，引导社会组织、企业参与孤儿关爱服务，开展“爱心家庭结对”等活动，助力孤儿成年后顺利融入社会，切实筑牢孤儿成长民生保障网。</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多维度推进残疾人事业高质量发展。</w:t>
      </w:r>
      <w:r>
        <w:rPr>
          <w:rFonts w:hint="default" w:ascii="Times New Roman" w:hAnsi="Times New Roman" w:cs="Times New Roman"/>
          <w:b w:val="0"/>
          <w:bCs w:val="0"/>
          <w:color w:val="auto"/>
          <w:kern w:val="0"/>
          <w:szCs w:val="32"/>
          <w:highlight w:val="none"/>
          <w:lang w:bidi="ar"/>
        </w:rPr>
        <w:t>构建“集中就业+分散就业+灵活就业+社区就业”多元化就业格局，助力残疾人提升就业竞争力，搭建残疾人就业供需对接平台，促进残疾人与用人单位高效匹配。通过就业支持、康复服务、评残便利化三大核心举措，推动残疾人事业从“保障基本”向“促进发展”转型。筑牢残疾人健康防线，以机构康复、社区康复、居家康复为抓手，全面提高康复服务质量。创新评残服务模式，破解特殊群体办证难题。协调相关机构上门服务，按区域、分群体实施入户评残，确保行动不便者与普通残疾人享有同等高效评残服务。</w:t>
      </w:r>
    </w:p>
    <w:p>
      <w:pPr>
        <w:pStyle w:val="19"/>
        <w:pageBreakBefore w:val="0"/>
        <w:wordWrap/>
        <w:overflowPunct/>
        <w:autoSpaceDE/>
        <w:autoSpaceDN/>
        <w:bidi w:val="0"/>
        <w:spacing w:line="530" w:lineRule="exact"/>
        <w:ind w:firstLine="643"/>
        <w:rPr>
          <w:rFonts w:hint="default" w:ascii="Times New Roman" w:hAnsi="Times New Roman" w:cs="Times New Roman"/>
          <w:b w:val="0"/>
          <w:bCs w:val="0"/>
          <w:color w:val="auto"/>
          <w:kern w:val="0"/>
          <w:szCs w:val="32"/>
          <w:highlight w:val="none"/>
          <w:lang w:bidi="ar"/>
        </w:rPr>
      </w:pPr>
      <w:r>
        <w:rPr>
          <w:rFonts w:hint="default" w:ascii="Times New Roman" w:hAnsi="Times New Roman" w:cs="Times New Roman"/>
          <w:b/>
          <w:bCs/>
          <w:color w:val="auto"/>
          <w:kern w:val="0"/>
          <w:szCs w:val="32"/>
          <w:highlight w:val="none"/>
          <w:lang w:bidi="ar"/>
        </w:rPr>
        <w:t>全面促进青年发展。</w:t>
      </w:r>
      <w:r>
        <w:rPr>
          <w:rFonts w:hint="default" w:ascii="Times New Roman" w:hAnsi="Times New Roman" w:cs="Times New Roman"/>
          <w:b w:val="0"/>
          <w:bCs w:val="0"/>
          <w:color w:val="auto"/>
          <w:kern w:val="0"/>
          <w:szCs w:val="32"/>
          <w:highlight w:val="none"/>
          <w:lang w:bidi="ar"/>
        </w:rPr>
        <w:t>筑牢青年理想信念根基，组建网络文明志愿者队伍，强化网络思政阵地建设。加大青年就业创业支持力度，实施“青创未来”计划，建立区级青年就业创业孵化基地，搭建专业化服务平台，加强青年就业创业支持。推进青年发展型城市建设，打造“青年友好街区”，合理规划公共空间与闲置用房，增设青年文化、运动场地，持续优化青年发展环境。切实维护青少年合法权益，加强法治宣传教育，净化</w:t>
      </w:r>
      <w:r>
        <w:rPr>
          <w:rFonts w:hint="eastAsia" w:cs="Times New Roman"/>
          <w:b w:val="0"/>
          <w:bCs w:val="0"/>
          <w:color w:val="auto"/>
          <w:kern w:val="0"/>
          <w:szCs w:val="32"/>
          <w:highlight w:val="none"/>
          <w:lang w:eastAsia="zh-CN" w:bidi="ar"/>
        </w:rPr>
        <w:t>青少</w:t>
      </w:r>
      <w:r>
        <w:rPr>
          <w:rFonts w:hint="default" w:ascii="Times New Roman" w:hAnsi="Times New Roman" w:cs="Times New Roman"/>
          <w:b w:val="0"/>
          <w:bCs w:val="0"/>
          <w:color w:val="auto"/>
          <w:kern w:val="0"/>
          <w:szCs w:val="32"/>
          <w:highlight w:val="none"/>
          <w:lang w:bidi="ar"/>
        </w:rPr>
        <w:t>年成长环境。关注青年身心健康发展，联合专业机构开展心理健康知识普及、心理咨询与辅导服务，全方位助力青年全面发展、成长成才。</w:t>
      </w:r>
    </w:p>
    <w:tbl>
      <w:tblPr>
        <w:tblStyle w:val="15"/>
        <w:tblpPr w:leftFromText="180" w:rightFromText="180" w:vertAnchor="text" w:horzAnchor="page" w:tblpX="1784"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E7E6E6" w:themeFill="background2"/>
          </w:tcPr>
          <w:p>
            <w:pPr>
              <w:pStyle w:val="20"/>
              <w:keepNext w:val="0"/>
              <w:keepLines w:val="0"/>
              <w:pageBreakBefore w:val="0"/>
              <w:widowControl w:val="0"/>
              <w:wordWrap/>
              <w:overflowPunct/>
              <w:topLinePunct w:val="0"/>
              <w:autoSpaceDE/>
              <w:autoSpaceDN/>
              <w:bidi w:val="0"/>
              <w:spacing w:line="300" w:lineRule="exact"/>
              <w:rPr>
                <w:color w:val="auto"/>
                <w:sz w:val="24"/>
                <w:highlight w:val="none"/>
              </w:rPr>
            </w:pPr>
            <w:r>
              <w:rPr>
                <w:color w:val="auto"/>
                <w:highlight w:val="none"/>
              </w:rPr>
              <w:t xml:space="preserve">专栏 </w:t>
            </w:r>
            <w:r>
              <w:rPr>
                <w:rFonts w:hint="eastAsia"/>
                <w:color w:val="auto"/>
                <w:highlight w:val="none"/>
                <w:lang w:val="en-US" w:eastAsia="zh-CN"/>
              </w:rPr>
              <w:t xml:space="preserve">8 </w:t>
            </w:r>
            <w:r>
              <w:rPr>
                <w:rFonts w:eastAsia="楷体_GB2312"/>
                <w:color w:val="auto"/>
                <w:szCs w:val="36"/>
                <w:highlight w:val="none"/>
              </w:rPr>
              <w:t>赓续民生福祉重点项目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w:t>
            </w:r>
            <w:r>
              <w:rPr>
                <w:color w:val="auto"/>
                <w:highlight w:val="none"/>
              </w:rPr>
              <w:t>.既有建筑改造</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将闲置低效的旧厂房、旧仓库改造为科技创新园区、文创产业园、体育馆</w:t>
            </w:r>
            <w:r>
              <w:rPr>
                <w:rFonts w:hint="eastAsia"/>
                <w:color w:val="auto"/>
                <w:highlight w:val="none"/>
              </w:rPr>
              <w:t>，大龙烧伤医院、吉大迎宾楼、中海公元上城等闲置楼宇招商改造</w:t>
            </w:r>
            <w:r>
              <w:rPr>
                <w:color w:val="auto"/>
                <w:highlight w:val="none"/>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2</w:t>
            </w:r>
            <w:r>
              <w:rPr>
                <w:color w:val="auto"/>
                <w:highlight w:val="none"/>
              </w:rPr>
              <w:t>.老旧小区整治</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开展绿园区普阳街道、青年路街道、正阳街道、铁西街道、林园街道、城西镇城镇老旧小区改造建设项目。</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3</w:t>
            </w:r>
            <w:r>
              <w:rPr>
                <w:color w:val="auto"/>
                <w:highlight w:val="none"/>
              </w:rPr>
              <w:t>.完整社区建设</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推进绿园区生活垃圾固定转运站综合收运中心更新建设项目。</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4</w:t>
            </w:r>
            <w:r>
              <w:rPr>
                <w:color w:val="auto"/>
                <w:highlight w:val="none"/>
              </w:rPr>
              <w:t>.老旧街区、老旧厂区、城中村等更新改造</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推进绿园区</w:t>
            </w:r>
            <w:r>
              <w:rPr>
                <w:rFonts w:ascii="Times New Roman" w:hAnsi="Times New Roman" w:cs="Times New Roman"/>
                <w:b w:val="0"/>
                <w:i w:val="0"/>
                <w:color w:val="auto"/>
                <w:szCs w:val="32"/>
                <w:highlight w:val="none"/>
              </w:rPr>
              <w:t>54</w:t>
            </w:r>
            <w:r>
              <w:rPr>
                <w:rFonts w:hint="eastAsia" w:ascii="Times New Roman" w:hAnsi="Times New Roman" w:cs="Times New Roman"/>
                <w:color w:val="auto"/>
                <w:szCs w:val="32"/>
                <w:highlight w:val="none"/>
                <w:lang w:val="en-US" w:eastAsia="zh-CN"/>
              </w:rPr>
              <w:t>路</w:t>
            </w:r>
            <w:r>
              <w:rPr>
                <w:rFonts w:ascii="Times New Roman" w:hAnsi="Times New Roman" w:cs="Times New Roman"/>
                <w:color w:val="auto"/>
                <w:szCs w:val="32"/>
                <w:highlight w:val="none"/>
              </w:rPr>
              <w:t>沿线、</w:t>
            </w:r>
            <w:r>
              <w:rPr>
                <w:rFonts w:hint="eastAsia" w:ascii="Times New Roman" w:hAnsi="Times New Roman" w:cs="Times New Roman"/>
                <w:color w:val="auto"/>
                <w:szCs w:val="32"/>
                <w:highlight w:val="none"/>
                <w:lang w:val="en-US" w:eastAsia="zh-CN"/>
              </w:rPr>
              <w:t>春城大街、皓月大路、正阳街等</w:t>
            </w:r>
            <w:r>
              <w:rPr>
                <w:color w:val="auto"/>
                <w:highlight w:val="none"/>
              </w:rPr>
              <w:t>老旧街区改造提升建设项目，推动街区业态升级与品牌培育。启动绿园区兴隆村、杨家村、四季青、双丰村等棚户区改造配套基础设施建设项目、绿园区双丰村、翟家北、大成玉米城中村改造开发建设项目。</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5</w:t>
            </w:r>
            <w:r>
              <w:rPr>
                <w:color w:val="auto"/>
                <w:highlight w:val="none"/>
              </w:rPr>
              <w:t>.基础设施改造工程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实施绿园区林园街道、正阳街道、春城街道、迎宾街道、铁西街道、合心镇住宅小区综合管网改造项目、绿园经济开发区排水管网改造等项目。新建、改造</w:t>
            </w:r>
            <w:r>
              <w:rPr>
                <w:rFonts w:ascii="Times New Roman" w:hAnsi="Times New Roman"/>
                <w:b w:val="0"/>
                <w:i w:val="0"/>
                <w:color w:val="auto"/>
                <w:highlight w:val="none"/>
              </w:rPr>
              <w:t>18</w:t>
            </w:r>
            <w:r>
              <w:rPr>
                <w:color w:val="auto"/>
                <w:highlight w:val="none"/>
              </w:rPr>
              <w:t>条道路，新建景阳大路与西四环路立交桥等</w:t>
            </w:r>
            <w:r>
              <w:rPr>
                <w:rFonts w:ascii="Times New Roman" w:hAnsi="Times New Roman"/>
                <w:b w:val="0"/>
                <w:i w:val="0"/>
                <w:color w:val="auto"/>
                <w:highlight w:val="none"/>
              </w:rPr>
              <w:t>4</w:t>
            </w:r>
            <w:r>
              <w:rPr>
                <w:color w:val="auto"/>
                <w:highlight w:val="none"/>
              </w:rPr>
              <w:t>条快速路、长太高速公路连接线（一期）、西客站周边</w:t>
            </w:r>
            <w:r>
              <w:rPr>
                <w:rFonts w:ascii="Times New Roman" w:hAnsi="Times New Roman"/>
                <w:b w:val="0"/>
                <w:i w:val="0"/>
                <w:color w:val="auto"/>
                <w:highlight w:val="none"/>
              </w:rPr>
              <w:t>7</w:t>
            </w:r>
            <w:r>
              <w:rPr>
                <w:color w:val="auto"/>
                <w:highlight w:val="none"/>
              </w:rPr>
              <w:t>条道路和万盛书院等小区周边</w:t>
            </w:r>
            <w:r>
              <w:rPr>
                <w:rFonts w:ascii="Times New Roman" w:hAnsi="Times New Roman"/>
                <w:b w:val="0"/>
                <w:i w:val="0"/>
                <w:color w:val="auto"/>
                <w:highlight w:val="none"/>
              </w:rPr>
              <w:t>5</w:t>
            </w:r>
            <w:r>
              <w:rPr>
                <w:color w:val="auto"/>
                <w:highlight w:val="none"/>
              </w:rPr>
              <w:t>条道路，改造西环城路。</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6</w:t>
            </w:r>
            <w:r>
              <w:rPr>
                <w:color w:val="auto"/>
                <w:highlight w:val="none"/>
              </w:rPr>
              <w:t>.</w:t>
            </w:r>
            <w:r>
              <w:rPr>
                <w:rFonts w:hint="eastAsia"/>
                <w:color w:val="auto"/>
                <w:highlight w:val="none"/>
              </w:rPr>
              <w:t>城市管理</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color w:val="auto"/>
                <w:highlight w:val="none"/>
              </w:rPr>
              <w:t>打造现代化综合环卫公共服务中心</w:t>
            </w:r>
            <w:r>
              <w:rPr>
                <w:rFonts w:hint="eastAsia"/>
                <w:color w:val="auto"/>
                <w:highlight w:val="none"/>
              </w:rPr>
              <w:t>。</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7</w:t>
            </w:r>
            <w:r>
              <w:rPr>
                <w:color w:val="auto"/>
                <w:highlight w:val="none"/>
              </w:rPr>
              <w:t>.花园城区改造工程</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加快实施串湖流域（</w:t>
            </w:r>
            <w:r>
              <w:rPr>
                <w:rFonts w:hint="eastAsia"/>
                <w:color w:val="auto"/>
                <w:highlight w:val="none"/>
                <w:lang w:eastAsia="zh-CN"/>
              </w:rPr>
              <w:t>“</w:t>
            </w:r>
            <w:r>
              <w:rPr>
                <w:color w:val="auto"/>
                <w:highlight w:val="none"/>
              </w:rPr>
              <w:t>新竹路</w:t>
            </w:r>
            <w:r>
              <w:rPr>
                <w:rFonts w:hint="eastAsia" w:ascii="Times New Roman" w:hAnsi="Times New Roman"/>
                <w:color w:val="auto"/>
                <w:highlight w:val="none"/>
                <w:lang w:eastAsia="zh-CN"/>
              </w:rPr>
              <w:t>―</w:t>
            </w:r>
            <w:r>
              <w:rPr>
                <w:color w:val="auto"/>
                <w:highlight w:val="none"/>
              </w:rPr>
              <w:t>串湖铁路桥</w:t>
            </w:r>
            <w:r>
              <w:rPr>
                <w:rFonts w:hint="eastAsia"/>
                <w:color w:val="auto"/>
                <w:highlight w:val="none"/>
                <w:lang w:eastAsia="zh-CN"/>
              </w:rPr>
              <w:t>”</w:t>
            </w:r>
            <w:r>
              <w:rPr>
                <w:color w:val="auto"/>
                <w:highlight w:val="none"/>
              </w:rPr>
              <w:t>段）周边小区雨污分流改造工程，推进海吉星物流园、</w:t>
            </w:r>
            <w:r>
              <w:rPr>
                <w:rFonts w:hint="eastAsia"/>
                <w:color w:val="auto"/>
                <w:highlight w:val="none"/>
                <w:lang w:val="en-US" w:eastAsia="zh-CN"/>
              </w:rPr>
              <w:t>城西镇</w:t>
            </w:r>
            <w:r>
              <w:rPr>
                <w:color w:val="auto"/>
                <w:highlight w:val="none"/>
              </w:rPr>
              <w:t>及周边小区雨污分流改造工程。全面提升长春公园、天嘉公园等综合公园品质，利用城市边角地、闲置地新建或改造口袋公园和小微绿地。建设连接西客站、长春公园、串湖水系、三间水库等关键节点的区域性绿道，打造绿园花园社区。</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8</w:t>
            </w:r>
            <w:r>
              <w:rPr>
                <w:color w:val="auto"/>
                <w:highlight w:val="none"/>
              </w:rPr>
              <w:t>.皓月员工幸福家园项目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规划建设多种类型住宅社区，满足皓月职工、园区就业创业、城市移民等不同人群居住需求。</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9</w:t>
            </w:r>
            <w:r>
              <w:rPr>
                <w:color w:val="auto"/>
                <w:highlight w:val="none"/>
              </w:rPr>
              <w:t>.全民健身项目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规划包含文体生活、休闲娱乐、社区商业、主题餐厅等城市功能。</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10</w:t>
            </w:r>
            <w:r>
              <w:rPr>
                <w:color w:val="auto"/>
                <w:highlight w:val="none"/>
              </w:rPr>
              <w:t>.绿园区民政局康养中心项目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项目拟落位万龙青东地块，占地约</w:t>
            </w:r>
            <w:r>
              <w:rPr>
                <w:rFonts w:ascii="Times New Roman" w:hAnsi="Times New Roman"/>
                <w:b w:val="0"/>
                <w:i w:val="0"/>
                <w:color w:val="auto"/>
                <w:highlight w:val="none"/>
              </w:rPr>
              <w:t>4</w:t>
            </w:r>
            <w:r>
              <w:rPr>
                <w:color w:val="auto"/>
                <w:highlight w:val="none"/>
              </w:rPr>
              <w:t>万平方米，建筑面积约</w:t>
            </w:r>
            <w:r>
              <w:rPr>
                <w:rFonts w:ascii="Times New Roman" w:hAnsi="Times New Roman"/>
                <w:b w:val="0"/>
                <w:i w:val="0"/>
                <w:color w:val="auto"/>
                <w:highlight w:val="none"/>
              </w:rPr>
              <w:t>6</w:t>
            </w:r>
            <w:r>
              <w:rPr>
                <w:color w:val="auto"/>
                <w:highlight w:val="none"/>
              </w:rPr>
              <w:t>万平</w:t>
            </w:r>
            <w:r>
              <w:rPr>
                <w:rFonts w:hint="eastAsia"/>
                <w:color w:val="auto"/>
                <w:highlight w:val="none"/>
                <w:lang w:val="en-US" w:eastAsia="zh-CN"/>
              </w:rPr>
              <w:t>方</w:t>
            </w:r>
            <w:r>
              <w:rPr>
                <w:color w:val="auto"/>
                <w:highlight w:val="none"/>
              </w:rPr>
              <w:t>米，包含养老公寓预计</w:t>
            </w:r>
            <w:r>
              <w:rPr>
                <w:rFonts w:ascii="Times New Roman" w:hAnsi="Times New Roman"/>
                <w:b w:val="0"/>
                <w:i w:val="0"/>
                <w:color w:val="auto"/>
                <w:highlight w:val="none"/>
              </w:rPr>
              <w:t>1500</w:t>
            </w:r>
            <w:r>
              <w:rPr>
                <w:rFonts w:hint="eastAsia" w:ascii="Times New Roman" w:hAnsi="Times New Roman"/>
                <w:color w:val="auto"/>
                <w:highlight w:val="none"/>
                <w:lang w:val="en-US" w:eastAsia="zh-CN"/>
              </w:rPr>
              <w:t>张</w:t>
            </w:r>
            <w:r>
              <w:rPr>
                <w:color w:val="auto"/>
                <w:highlight w:val="none"/>
              </w:rPr>
              <w:t>床位，康养中心（医疗中心），大型活动中心，该项目为土地划拨，区政府专项债项目，公建民营项目。</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11</w:t>
            </w:r>
            <w:r>
              <w:rPr>
                <w:color w:val="auto"/>
                <w:highlight w:val="none"/>
              </w:rPr>
              <w:t>.雁鸣湖养老产业园项目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聚焦</w:t>
            </w:r>
            <w:r>
              <w:rPr>
                <w:rFonts w:hint="eastAsia"/>
                <w:color w:val="auto"/>
                <w:highlight w:val="none"/>
              </w:rPr>
              <w:t>“</w:t>
            </w:r>
            <w:r>
              <w:rPr>
                <w:color w:val="auto"/>
                <w:highlight w:val="none"/>
              </w:rPr>
              <w:t>医养结合、智慧康养、康复辅具、老年文娱”四大方向，打造研发、生产、服务、体验于一体的全产业链园区。</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12</w:t>
            </w:r>
            <w:r>
              <w:rPr>
                <w:color w:val="auto"/>
                <w:highlight w:val="none"/>
              </w:rPr>
              <w:t>.皓月康养绿洲项目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建设高端特色文化养老社区，打造生态康养空间，提供多元化综合型养老服务。</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13</w:t>
            </w:r>
            <w:r>
              <w:rPr>
                <w:color w:val="auto"/>
                <w:highlight w:val="none"/>
              </w:rPr>
              <w:t>.智信康养综合体</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项目建设及改造房屋总面积为</w:t>
            </w:r>
            <w:r>
              <w:rPr>
                <w:rFonts w:ascii="Times New Roman" w:hAnsi="Times New Roman"/>
                <w:b w:val="0"/>
                <w:i w:val="0"/>
                <w:color w:val="auto"/>
                <w:highlight w:val="none"/>
              </w:rPr>
              <w:t>27000</w:t>
            </w:r>
            <w:r>
              <w:rPr>
                <w:color w:val="auto"/>
                <w:highlight w:val="none"/>
              </w:rPr>
              <w:t>平方米左右，计划建设</w:t>
            </w:r>
            <w:r>
              <w:rPr>
                <w:rFonts w:ascii="Times New Roman" w:hAnsi="Times New Roman"/>
                <w:b w:val="0"/>
                <w:i w:val="0"/>
                <w:color w:val="auto"/>
                <w:highlight w:val="none"/>
              </w:rPr>
              <w:t>5000</w:t>
            </w:r>
            <w:r>
              <w:rPr>
                <w:color w:val="auto"/>
                <w:highlight w:val="none"/>
              </w:rPr>
              <w:t>平方米养老院，涵盖医疗理疗服务区、文娱活动室、洗浴室、健身房、体验区等。</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14</w:t>
            </w:r>
            <w:r>
              <w:rPr>
                <w:color w:val="auto"/>
                <w:highlight w:val="none"/>
              </w:rPr>
              <w:t>.吉大二院</w:t>
            </w:r>
            <w:r>
              <w:rPr>
                <w:rFonts w:hint="eastAsia"/>
                <w:color w:val="auto"/>
                <w:highlight w:val="none"/>
              </w:rPr>
              <w:t>青年院区改扩建</w:t>
            </w:r>
            <w:r>
              <w:rPr>
                <w:color w:val="auto"/>
                <w:highlight w:val="none"/>
              </w:rPr>
              <w:t>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计划建设</w:t>
            </w:r>
            <w:r>
              <w:rPr>
                <w:rFonts w:hint="eastAsia"/>
                <w:color w:val="auto"/>
                <w:highlight w:val="none"/>
              </w:rPr>
              <w:t>住院楼、辅助用房等</w:t>
            </w:r>
            <w:r>
              <w:rPr>
                <w:color w:val="auto"/>
                <w:highlight w:val="none"/>
              </w:rPr>
              <w:t>建筑，</w:t>
            </w:r>
            <w:r>
              <w:rPr>
                <w:rFonts w:hint="eastAsia"/>
                <w:color w:val="auto"/>
                <w:highlight w:val="none"/>
              </w:rPr>
              <w:t>总体</w:t>
            </w:r>
            <w:r>
              <w:rPr>
                <w:color w:val="auto"/>
                <w:highlight w:val="none"/>
              </w:rPr>
              <w:t>占地面积</w:t>
            </w:r>
            <w:r>
              <w:rPr>
                <w:rFonts w:hint="eastAsia" w:ascii="Times New Roman" w:hAnsi="Times New Roman"/>
                <w:b w:val="0"/>
                <w:i w:val="0"/>
                <w:color w:val="auto"/>
                <w:highlight w:val="none"/>
              </w:rPr>
              <w:t>2</w:t>
            </w:r>
            <w:r>
              <w:rPr>
                <w:rFonts w:hint="eastAsia"/>
                <w:color w:val="auto"/>
                <w:highlight w:val="none"/>
              </w:rPr>
              <w:t>.</w:t>
            </w:r>
            <w:r>
              <w:rPr>
                <w:rFonts w:hint="eastAsia" w:ascii="Times New Roman" w:hAnsi="Times New Roman"/>
                <w:b w:val="0"/>
                <w:i w:val="0"/>
                <w:color w:val="auto"/>
                <w:highlight w:val="none"/>
              </w:rPr>
              <w:t>4</w:t>
            </w:r>
            <w:r>
              <w:rPr>
                <w:color w:val="auto"/>
                <w:highlight w:val="none"/>
              </w:rPr>
              <w:t>万平方米，拟新建建筑面积</w:t>
            </w:r>
            <w:r>
              <w:rPr>
                <w:rFonts w:hint="eastAsia" w:ascii="Times New Roman" w:hAnsi="Times New Roman"/>
                <w:b w:val="0"/>
                <w:i w:val="0"/>
                <w:color w:val="auto"/>
                <w:highlight w:val="none"/>
              </w:rPr>
              <w:t>3</w:t>
            </w:r>
            <w:r>
              <w:rPr>
                <w:rFonts w:hint="eastAsia"/>
                <w:color w:val="auto"/>
                <w:highlight w:val="none"/>
              </w:rPr>
              <w:t>.</w:t>
            </w:r>
            <w:r>
              <w:rPr>
                <w:rFonts w:hint="eastAsia" w:ascii="Times New Roman" w:hAnsi="Times New Roman"/>
                <w:b w:val="0"/>
                <w:i w:val="0"/>
                <w:color w:val="auto"/>
                <w:highlight w:val="none"/>
              </w:rPr>
              <w:t>8</w:t>
            </w:r>
            <w:r>
              <w:rPr>
                <w:color w:val="auto"/>
                <w:highlight w:val="none"/>
              </w:rPr>
              <w:t>万平方米。</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15</w:t>
            </w:r>
            <w:r>
              <w:rPr>
                <w:color w:val="auto"/>
                <w:highlight w:val="none"/>
              </w:rPr>
              <w:t>.综合环卫公共服务中心</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综合性、现代化环卫中心。</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ascii="Times New Roman" w:hAnsi="Times New Roman"/>
                <w:b w:val="0"/>
                <w:i w:val="0"/>
                <w:color w:val="auto"/>
                <w:highlight w:val="none"/>
              </w:rPr>
              <w:t>1</w:t>
            </w:r>
            <w:r>
              <w:rPr>
                <w:rFonts w:hint="eastAsia" w:ascii="Times New Roman" w:hAnsi="Times New Roman"/>
                <w:b w:val="0"/>
                <w:i w:val="0"/>
                <w:color w:val="auto"/>
                <w:highlight w:val="none"/>
                <w:lang w:val="en-US" w:eastAsia="zh-CN"/>
              </w:rPr>
              <w:t>6</w:t>
            </w:r>
            <w:r>
              <w:rPr>
                <w:color w:val="auto"/>
                <w:highlight w:val="none"/>
              </w:rPr>
              <w:t>.皓月实验学校续建项目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九年义务教育公办学校。拟建一所</w:t>
            </w:r>
            <w:r>
              <w:rPr>
                <w:rFonts w:ascii="Times New Roman" w:hAnsi="Times New Roman"/>
                <w:b w:val="0"/>
                <w:i w:val="0"/>
                <w:color w:val="auto"/>
                <w:highlight w:val="none"/>
              </w:rPr>
              <w:t>54</w:t>
            </w:r>
            <w:r>
              <w:rPr>
                <w:color w:val="auto"/>
                <w:highlight w:val="none"/>
              </w:rPr>
              <w:t>班九年一贯制学校，其中小学班</w:t>
            </w:r>
            <w:r>
              <w:rPr>
                <w:rFonts w:ascii="Times New Roman" w:hAnsi="Times New Roman"/>
                <w:b w:val="0"/>
                <w:i w:val="0"/>
                <w:color w:val="auto"/>
                <w:highlight w:val="none"/>
              </w:rPr>
              <w:t>36</w:t>
            </w:r>
            <w:r>
              <w:rPr>
                <w:color w:val="auto"/>
                <w:highlight w:val="none"/>
              </w:rPr>
              <w:t>个，容纳学生</w:t>
            </w:r>
            <w:r>
              <w:rPr>
                <w:rFonts w:ascii="Times New Roman" w:hAnsi="Times New Roman"/>
                <w:b w:val="0"/>
                <w:i w:val="0"/>
                <w:color w:val="auto"/>
                <w:highlight w:val="none"/>
              </w:rPr>
              <w:t>1620</w:t>
            </w:r>
            <w:r>
              <w:rPr>
                <w:color w:val="auto"/>
                <w:highlight w:val="none"/>
              </w:rPr>
              <w:t>人，中学班</w:t>
            </w:r>
            <w:r>
              <w:rPr>
                <w:rFonts w:ascii="Times New Roman" w:hAnsi="Times New Roman"/>
                <w:b w:val="0"/>
                <w:i w:val="0"/>
                <w:color w:val="auto"/>
                <w:highlight w:val="none"/>
              </w:rPr>
              <w:t>18</w:t>
            </w:r>
            <w:r>
              <w:rPr>
                <w:color w:val="auto"/>
                <w:highlight w:val="none"/>
              </w:rPr>
              <w:t>个，容纳学生</w:t>
            </w:r>
            <w:r>
              <w:rPr>
                <w:rFonts w:ascii="Times New Roman" w:hAnsi="Times New Roman"/>
                <w:b w:val="0"/>
                <w:i w:val="0"/>
                <w:color w:val="auto"/>
                <w:highlight w:val="none"/>
              </w:rPr>
              <w:t>900</w:t>
            </w:r>
            <w:r>
              <w:rPr>
                <w:color w:val="auto"/>
                <w:highlight w:val="none"/>
              </w:rPr>
              <w:t>人，共计</w:t>
            </w:r>
            <w:r>
              <w:rPr>
                <w:rFonts w:ascii="Times New Roman" w:hAnsi="Times New Roman"/>
                <w:b w:val="0"/>
                <w:i w:val="0"/>
                <w:color w:val="auto"/>
                <w:highlight w:val="none"/>
              </w:rPr>
              <w:t>2520</w:t>
            </w:r>
            <w:r>
              <w:rPr>
                <w:color w:val="auto"/>
                <w:highlight w:val="none"/>
              </w:rPr>
              <w:t>人。</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1</w:t>
            </w:r>
            <w:r>
              <w:rPr>
                <w:rFonts w:hint="eastAsia" w:ascii="Times New Roman" w:hAnsi="Times New Roman"/>
                <w:b w:val="0"/>
                <w:i w:val="0"/>
                <w:color w:val="auto"/>
                <w:highlight w:val="none"/>
                <w:lang w:val="en-US" w:eastAsia="zh-CN"/>
              </w:rPr>
              <w:t>7</w:t>
            </w:r>
            <w:r>
              <w:rPr>
                <w:rFonts w:hint="eastAsia"/>
                <w:color w:val="auto"/>
                <w:highlight w:val="none"/>
              </w:rPr>
              <w:t>.</w:t>
            </w:r>
            <w:r>
              <w:rPr>
                <w:color w:val="auto"/>
                <w:highlight w:val="none"/>
              </w:rPr>
              <w:t>西湖崇德学校续建项目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学校性质为九年一贯制公办学校，设置</w:t>
            </w:r>
            <w:r>
              <w:rPr>
                <w:rFonts w:ascii="Times New Roman" w:hAnsi="Times New Roman"/>
                <w:b w:val="0"/>
                <w:i w:val="0"/>
                <w:color w:val="auto"/>
                <w:highlight w:val="none"/>
              </w:rPr>
              <w:t>54</w:t>
            </w:r>
            <w:r>
              <w:rPr>
                <w:color w:val="auto"/>
                <w:highlight w:val="none"/>
              </w:rPr>
              <w:t>个教学班，其中小学</w:t>
            </w:r>
            <w:r>
              <w:rPr>
                <w:rFonts w:ascii="Times New Roman" w:hAnsi="Times New Roman"/>
                <w:b w:val="0"/>
                <w:i w:val="0"/>
                <w:color w:val="auto"/>
                <w:highlight w:val="none"/>
              </w:rPr>
              <w:t>36</w:t>
            </w:r>
            <w:r>
              <w:rPr>
                <w:color w:val="auto"/>
                <w:highlight w:val="none"/>
              </w:rPr>
              <w:t>个教学班，初中</w:t>
            </w:r>
            <w:r>
              <w:rPr>
                <w:rFonts w:ascii="Times New Roman" w:hAnsi="Times New Roman"/>
                <w:b w:val="0"/>
                <w:i w:val="0"/>
                <w:color w:val="auto"/>
                <w:highlight w:val="none"/>
              </w:rPr>
              <w:t>18</w:t>
            </w:r>
            <w:r>
              <w:rPr>
                <w:color w:val="auto"/>
                <w:highlight w:val="none"/>
              </w:rPr>
              <w:t>个教学班，满足学区内</w:t>
            </w:r>
            <w:r>
              <w:rPr>
                <w:rFonts w:ascii="Times New Roman" w:hAnsi="Times New Roman"/>
                <w:b w:val="0"/>
                <w:i w:val="0"/>
                <w:color w:val="auto"/>
                <w:highlight w:val="none"/>
              </w:rPr>
              <w:t>2520</w:t>
            </w:r>
            <w:r>
              <w:rPr>
                <w:color w:val="auto"/>
                <w:highlight w:val="none"/>
              </w:rPr>
              <w:t>名学生就近入学。</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rPr>
              <w:t>1</w:t>
            </w:r>
            <w:r>
              <w:rPr>
                <w:rFonts w:hint="eastAsia" w:ascii="Times New Roman" w:hAnsi="Times New Roman"/>
                <w:b w:val="0"/>
                <w:i w:val="0"/>
                <w:color w:val="auto"/>
                <w:highlight w:val="none"/>
                <w:lang w:val="en-US" w:eastAsia="zh-CN"/>
              </w:rPr>
              <w:t>8</w:t>
            </w:r>
            <w:r>
              <w:rPr>
                <w:rFonts w:hint="eastAsia"/>
                <w:color w:val="auto"/>
                <w:highlight w:val="none"/>
              </w:rPr>
              <w:t>.</w:t>
            </w:r>
            <w:r>
              <w:rPr>
                <w:rFonts w:ascii="Times New Roman" w:hAnsi="Times New Roman"/>
                <w:b w:val="0"/>
                <w:i w:val="0"/>
                <w:color w:val="auto"/>
                <w:highlight w:val="none"/>
              </w:rPr>
              <w:t>87</w:t>
            </w:r>
            <w:r>
              <w:rPr>
                <w:color w:val="auto"/>
                <w:highlight w:val="none"/>
              </w:rPr>
              <w:t>中分校新建项目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学校性质为九年一贯制公办学校，设置</w:t>
            </w:r>
            <w:r>
              <w:rPr>
                <w:rFonts w:ascii="Times New Roman" w:hAnsi="Times New Roman"/>
                <w:b w:val="0"/>
                <w:i w:val="0"/>
                <w:color w:val="auto"/>
                <w:highlight w:val="none"/>
              </w:rPr>
              <w:t>27</w:t>
            </w:r>
            <w:r>
              <w:rPr>
                <w:color w:val="auto"/>
                <w:highlight w:val="none"/>
              </w:rPr>
              <w:t>个教学班，其中小学</w:t>
            </w:r>
            <w:r>
              <w:rPr>
                <w:rFonts w:ascii="Times New Roman" w:hAnsi="Times New Roman"/>
                <w:b w:val="0"/>
                <w:i w:val="0"/>
                <w:color w:val="auto"/>
                <w:highlight w:val="none"/>
              </w:rPr>
              <w:t>18</w:t>
            </w:r>
            <w:r>
              <w:rPr>
                <w:color w:val="auto"/>
                <w:highlight w:val="none"/>
              </w:rPr>
              <w:t>个教学班，初中</w:t>
            </w:r>
            <w:r>
              <w:rPr>
                <w:rFonts w:ascii="Times New Roman" w:hAnsi="Times New Roman"/>
                <w:b w:val="0"/>
                <w:i w:val="0"/>
                <w:color w:val="auto"/>
                <w:highlight w:val="none"/>
              </w:rPr>
              <w:t>9</w:t>
            </w:r>
            <w:r>
              <w:rPr>
                <w:color w:val="auto"/>
                <w:highlight w:val="none"/>
              </w:rPr>
              <w:t>个教学班，满足学区内</w:t>
            </w:r>
            <w:r>
              <w:rPr>
                <w:rFonts w:ascii="Times New Roman" w:hAnsi="Times New Roman"/>
                <w:b w:val="0"/>
                <w:i w:val="0"/>
                <w:color w:val="auto"/>
                <w:highlight w:val="none"/>
              </w:rPr>
              <w:t>1260</w:t>
            </w:r>
            <w:r>
              <w:rPr>
                <w:color w:val="auto"/>
                <w:highlight w:val="none"/>
              </w:rPr>
              <w:t>名学生就近入学。</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19</w:t>
            </w:r>
            <w:r>
              <w:rPr>
                <w:rFonts w:hint="eastAsia"/>
                <w:color w:val="auto"/>
                <w:highlight w:val="none"/>
              </w:rPr>
              <w:t>.</w:t>
            </w:r>
            <w:r>
              <w:rPr>
                <w:color w:val="auto"/>
                <w:highlight w:val="none"/>
              </w:rPr>
              <w:t>八十八中学改扩建项目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学校性质为九年一贯制公办学校，设置</w:t>
            </w:r>
            <w:r>
              <w:rPr>
                <w:rFonts w:ascii="Times New Roman" w:hAnsi="Times New Roman"/>
                <w:b w:val="0"/>
                <w:i w:val="0"/>
                <w:color w:val="auto"/>
                <w:highlight w:val="none"/>
              </w:rPr>
              <w:t>54</w:t>
            </w:r>
            <w:r>
              <w:rPr>
                <w:color w:val="auto"/>
                <w:highlight w:val="none"/>
              </w:rPr>
              <w:t>个教学班，其中小学</w:t>
            </w:r>
            <w:r>
              <w:rPr>
                <w:rFonts w:ascii="Times New Roman" w:hAnsi="Times New Roman"/>
                <w:b w:val="0"/>
                <w:i w:val="0"/>
                <w:color w:val="auto"/>
                <w:highlight w:val="none"/>
              </w:rPr>
              <w:t>36</w:t>
            </w:r>
            <w:r>
              <w:rPr>
                <w:color w:val="auto"/>
                <w:highlight w:val="none"/>
              </w:rPr>
              <w:t>个教学班，初中</w:t>
            </w:r>
            <w:r>
              <w:rPr>
                <w:rFonts w:ascii="Times New Roman" w:hAnsi="Times New Roman"/>
                <w:b w:val="0"/>
                <w:i w:val="0"/>
                <w:color w:val="auto"/>
                <w:highlight w:val="none"/>
              </w:rPr>
              <w:t>18</w:t>
            </w:r>
            <w:r>
              <w:rPr>
                <w:color w:val="auto"/>
                <w:highlight w:val="none"/>
              </w:rPr>
              <w:t>个教学班，满足学区内</w:t>
            </w:r>
            <w:r>
              <w:rPr>
                <w:rFonts w:ascii="Times New Roman" w:hAnsi="Times New Roman"/>
                <w:b w:val="0"/>
                <w:i w:val="0"/>
                <w:color w:val="auto"/>
                <w:highlight w:val="none"/>
              </w:rPr>
              <w:t>2520</w:t>
            </w:r>
            <w:r>
              <w:rPr>
                <w:color w:val="auto"/>
                <w:highlight w:val="none"/>
              </w:rPr>
              <w:t>名学生就近入学。</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20</w:t>
            </w:r>
            <w:r>
              <w:rPr>
                <w:rFonts w:hint="eastAsia"/>
                <w:color w:val="auto"/>
                <w:highlight w:val="none"/>
              </w:rPr>
              <w:t>.</w:t>
            </w:r>
            <w:r>
              <w:rPr>
                <w:color w:val="auto"/>
                <w:highlight w:val="none"/>
              </w:rPr>
              <w:t>新竹学校扩建项目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学校性质为九年一贯制公办学校，设置</w:t>
            </w:r>
            <w:r>
              <w:rPr>
                <w:rFonts w:ascii="Times New Roman" w:hAnsi="Times New Roman"/>
                <w:b w:val="0"/>
                <w:i w:val="0"/>
                <w:color w:val="auto"/>
                <w:highlight w:val="none"/>
              </w:rPr>
              <w:t>18</w:t>
            </w:r>
            <w:r>
              <w:rPr>
                <w:color w:val="auto"/>
                <w:highlight w:val="none"/>
              </w:rPr>
              <w:t>个教学班，其中小学</w:t>
            </w:r>
            <w:r>
              <w:rPr>
                <w:rFonts w:ascii="Times New Roman" w:hAnsi="Times New Roman"/>
                <w:b w:val="0"/>
                <w:i w:val="0"/>
                <w:color w:val="auto"/>
                <w:highlight w:val="none"/>
              </w:rPr>
              <w:t>12</w:t>
            </w:r>
            <w:r>
              <w:rPr>
                <w:color w:val="auto"/>
                <w:highlight w:val="none"/>
              </w:rPr>
              <w:t>个教学班，初中</w:t>
            </w:r>
            <w:r>
              <w:rPr>
                <w:rFonts w:ascii="Times New Roman" w:hAnsi="Times New Roman"/>
                <w:b w:val="0"/>
                <w:i w:val="0"/>
                <w:color w:val="auto"/>
                <w:highlight w:val="none"/>
              </w:rPr>
              <w:t>6</w:t>
            </w:r>
            <w:r>
              <w:rPr>
                <w:color w:val="auto"/>
                <w:highlight w:val="none"/>
              </w:rPr>
              <w:t>个教学班，满足学区内</w:t>
            </w:r>
            <w:r>
              <w:rPr>
                <w:rFonts w:ascii="Times New Roman" w:hAnsi="Times New Roman"/>
                <w:b w:val="0"/>
                <w:i w:val="0"/>
                <w:color w:val="auto"/>
                <w:highlight w:val="none"/>
              </w:rPr>
              <w:t>840</w:t>
            </w:r>
            <w:r>
              <w:rPr>
                <w:color w:val="auto"/>
                <w:highlight w:val="none"/>
              </w:rPr>
              <w:t>名学生就近入学。</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21</w:t>
            </w:r>
            <w:r>
              <w:rPr>
                <w:color w:val="auto"/>
                <w:highlight w:val="none"/>
              </w:rPr>
              <w:t>.</w:t>
            </w:r>
            <w:r>
              <w:rPr>
                <w:rFonts w:ascii="Times New Roman" w:hAnsi="Times New Roman"/>
                <w:b w:val="0"/>
                <w:i w:val="0"/>
                <w:color w:val="auto"/>
                <w:highlight w:val="none"/>
              </w:rPr>
              <w:t>78</w:t>
            </w:r>
            <w:r>
              <w:rPr>
                <w:color w:val="auto"/>
                <w:highlight w:val="none"/>
              </w:rPr>
              <w:t>中分校</w:t>
            </w:r>
            <w:r>
              <w:rPr>
                <w:rFonts w:hint="eastAsia"/>
                <w:color w:val="auto"/>
                <w:highlight w:val="none"/>
              </w:rPr>
              <w:t>新建</w:t>
            </w:r>
            <w:r>
              <w:rPr>
                <w:color w:val="auto"/>
                <w:highlight w:val="none"/>
              </w:rPr>
              <w:t>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学校性质为九年一贯制公办学校；共设置</w:t>
            </w:r>
            <w:r>
              <w:rPr>
                <w:rFonts w:ascii="Times New Roman" w:hAnsi="Times New Roman"/>
                <w:b w:val="0"/>
                <w:i w:val="0"/>
                <w:color w:val="auto"/>
                <w:highlight w:val="none"/>
              </w:rPr>
              <w:t>54</w:t>
            </w:r>
            <w:r>
              <w:rPr>
                <w:color w:val="auto"/>
                <w:highlight w:val="none"/>
              </w:rPr>
              <w:t>个教学班，其中小学</w:t>
            </w:r>
            <w:r>
              <w:rPr>
                <w:rFonts w:ascii="Times New Roman" w:hAnsi="Times New Roman"/>
                <w:b w:val="0"/>
                <w:i w:val="0"/>
                <w:color w:val="auto"/>
                <w:highlight w:val="none"/>
              </w:rPr>
              <w:t>36</w:t>
            </w:r>
            <w:r>
              <w:rPr>
                <w:color w:val="auto"/>
                <w:highlight w:val="none"/>
              </w:rPr>
              <w:t>个教学班，初中</w:t>
            </w:r>
            <w:r>
              <w:rPr>
                <w:rFonts w:ascii="Times New Roman" w:hAnsi="Times New Roman"/>
                <w:b w:val="0"/>
                <w:i w:val="0"/>
                <w:color w:val="auto"/>
                <w:highlight w:val="none"/>
              </w:rPr>
              <w:t>18</w:t>
            </w:r>
            <w:r>
              <w:rPr>
                <w:color w:val="auto"/>
                <w:highlight w:val="none"/>
              </w:rPr>
              <w:t>个教学班，满足学区内</w:t>
            </w:r>
            <w:r>
              <w:rPr>
                <w:rFonts w:ascii="Times New Roman" w:hAnsi="Times New Roman"/>
                <w:b w:val="0"/>
                <w:i w:val="0"/>
                <w:color w:val="auto"/>
                <w:highlight w:val="none"/>
              </w:rPr>
              <w:t>2520</w:t>
            </w:r>
            <w:r>
              <w:rPr>
                <w:color w:val="auto"/>
                <w:highlight w:val="none"/>
              </w:rPr>
              <w:t>名学生就</w:t>
            </w:r>
            <w:r>
              <w:rPr>
                <w:rFonts w:hint="eastAsia"/>
                <w:color w:val="auto"/>
                <w:highlight w:val="none"/>
                <w:lang w:val="en-US" w:eastAsia="zh-CN"/>
              </w:rPr>
              <w:t>近</w:t>
            </w:r>
            <w:r>
              <w:rPr>
                <w:color w:val="auto"/>
                <w:highlight w:val="none"/>
              </w:rPr>
              <w:t>入学。</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22</w:t>
            </w:r>
            <w:r>
              <w:rPr>
                <w:color w:val="auto"/>
                <w:highlight w:val="none"/>
              </w:rPr>
              <w:t>.长春市绿园区人民医院改扩建项目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改造面积</w:t>
            </w:r>
            <w:r>
              <w:rPr>
                <w:rFonts w:ascii="Times New Roman" w:hAnsi="Times New Roman"/>
                <w:b w:val="0"/>
                <w:i w:val="0"/>
                <w:color w:val="auto"/>
                <w:highlight w:val="none"/>
              </w:rPr>
              <w:t>14000</w:t>
            </w:r>
            <w:r>
              <w:rPr>
                <w:color w:val="auto"/>
                <w:highlight w:val="none"/>
              </w:rPr>
              <w:t>平方米，改造床位</w:t>
            </w:r>
            <w:r>
              <w:rPr>
                <w:rFonts w:ascii="Times New Roman" w:hAnsi="Times New Roman"/>
                <w:b w:val="0"/>
                <w:i w:val="0"/>
                <w:color w:val="auto"/>
                <w:highlight w:val="none"/>
              </w:rPr>
              <w:t>150</w:t>
            </w:r>
            <w:r>
              <w:rPr>
                <w:color w:val="auto"/>
                <w:highlight w:val="none"/>
              </w:rPr>
              <w:t>张，主要改造内容为内科、外科、妇科疗区病房</w:t>
            </w:r>
            <w:r>
              <w:rPr>
                <w:rFonts w:ascii="Times New Roman" w:hAnsi="Times New Roman"/>
                <w:b w:val="0"/>
                <w:i w:val="0"/>
                <w:color w:val="auto"/>
                <w:highlight w:val="none"/>
              </w:rPr>
              <w:t>75</w:t>
            </w:r>
            <w:r>
              <w:rPr>
                <w:color w:val="auto"/>
                <w:highlight w:val="none"/>
              </w:rPr>
              <w:t>间，以及病房配套改造水、电、暖、消防、氧气管路、污水处理、信息化等设备设施，本项目完成后解决现有病房楼基础设施老旧、就诊环境差等问题。</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23</w:t>
            </w:r>
            <w:r>
              <w:rPr>
                <w:color w:val="auto"/>
                <w:highlight w:val="none"/>
              </w:rPr>
              <w:t>.绿园区老年社会福利院项目</w:t>
            </w:r>
          </w:p>
          <w:p>
            <w:pPr>
              <w:pStyle w:val="23"/>
              <w:keepNext w:val="0"/>
              <w:keepLines w:val="0"/>
              <w:pageBreakBefore w:val="0"/>
              <w:widowControl w:val="0"/>
              <w:wordWrap/>
              <w:overflowPunct/>
              <w:topLinePunct w:val="0"/>
              <w:autoSpaceDE/>
              <w:autoSpaceDN/>
              <w:bidi w:val="0"/>
              <w:spacing w:line="300" w:lineRule="exact"/>
              <w:rPr>
                <w:color w:val="auto"/>
                <w:highlight w:val="none"/>
              </w:rPr>
            </w:pPr>
            <w:r>
              <w:rPr>
                <w:color w:val="auto"/>
                <w:highlight w:val="none"/>
              </w:rPr>
              <w:t>建设护理楼</w:t>
            </w:r>
            <w:r>
              <w:rPr>
                <w:rFonts w:ascii="Times New Roman" w:hAnsi="Times New Roman"/>
                <w:b w:val="0"/>
                <w:i w:val="0"/>
                <w:color w:val="auto"/>
                <w:highlight w:val="none"/>
              </w:rPr>
              <w:t>2</w:t>
            </w:r>
            <w:r>
              <w:rPr>
                <w:color w:val="auto"/>
                <w:highlight w:val="none"/>
              </w:rPr>
              <w:t>栋、多功能综合楼</w:t>
            </w:r>
            <w:r>
              <w:rPr>
                <w:rFonts w:ascii="Times New Roman" w:hAnsi="Times New Roman"/>
                <w:b w:val="0"/>
                <w:i w:val="0"/>
                <w:color w:val="auto"/>
                <w:highlight w:val="none"/>
              </w:rPr>
              <w:t>1</w:t>
            </w:r>
            <w:r>
              <w:rPr>
                <w:color w:val="auto"/>
                <w:highlight w:val="none"/>
              </w:rPr>
              <w:t>栋（内建医疗机构）。设计最大运营床位</w:t>
            </w:r>
            <w:r>
              <w:rPr>
                <w:rFonts w:ascii="Times New Roman" w:hAnsi="Times New Roman"/>
                <w:b w:val="0"/>
                <w:i w:val="0"/>
                <w:color w:val="auto"/>
                <w:highlight w:val="none"/>
              </w:rPr>
              <w:t>1000</w:t>
            </w:r>
            <w:r>
              <w:rPr>
                <w:color w:val="auto"/>
                <w:highlight w:val="none"/>
              </w:rPr>
              <w:t>张（首批建设</w:t>
            </w:r>
            <w:r>
              <w:rPr>
                <w:rFonts w:ascii="Times New Roman" w:hAnsi="Times New Roman"/>
                <w:b w:val="0"/>
                <w:i w:val="0"/>
                <w:color w:val="auto"/>
                <w:highlight w:val="none"/>
              </w:rPr>
              <w:t>500</w:t>
            </w:r>
            <w:r>
              <w:rPr>
                <w:color w:val="auto"/>
                <w:highlight w:val="none"/>
              </w:rPr>
              <w:t>张）。</w:t>
            </w:r>
          </w:p>
          <w:p>
            <w:pPr>
              <w:pStyle w:val="22"/>
              <w:keepNext w:val="0"/>
              <w:keepLines w:val="0"/>
              <w:pageBreakBefore w:val="0"/>
              <w:widowControl w:val="0"/>
              <w:wordWrap/>
              <w:overflowPunct/>
              <w:topLinePunct w:val="0"/>
              <w:autoSpaceDE/>
              <w:autoSpaceDN/>
              <w:bidi w:val="0"/>
              <w:spacing w:line="300" w:lineRule="exact"/>
              <w:rPr>
                <w:color w:val="auto"/>
                <w:highlight w:val="none"/>
              </w:rPr>
            </w:pPr>
            <w:r>
              <w:rPr>
                <w:rFonts w:hint="eastAsia" w:ascii="Times New Roman" w:hAnsi="Times New Roman"/>
                <w:b w:val="0"/>
                <w:i w:val="0"/>
                <w:color w:val="auto"/>
                <w:highlight w:val="none"/>
                <w:lang w:val="en-US" w:eastAsia="zh-CN"/>
              </w:rPr>
              <w:t>24</w:t>
            </w:r>
            <w:r>
              <w:rPr>
                <w:rFonts w:hint="eastAsia"/>
                <w:color w:val="auto"/>
                <w:highlight w:val="none"/>
              </w:rPr>
              <w:t>.</w:t>
            </w:r>
            <w:r>
              <w:rPr>
                <w:color w:val="auto"/>
                <w:highlight w:val="none"/>
              </w:rPr>
              <w:t>长春市绿园区城西镇卫生院新建项目</w:t>
            </w:r>
          </w:p>
          <w:p>
            <w:pPr>
              <w:pStyle w:val="23"/>
              <w:keepNext w:val="0"/>
              <w:keepLines w:val="0"/>
              <w:pageBreakBefore w:val="0"/>
              <w:widowControl w:val="0"/>
              <w:wordWrap/>
              <w:overflowPunct/>
              <w:topLinePunct w:val="0"/>
              <w:autoSpaceDE/>
              <w:autoSpaceDN/>
              <w:bidi w:val="0"/>
              <w:spacing w:line="300" w:lineRule="exact"/>
              <w:rPr>
                <w:rFonts w:hint="eastAsia"/>
                <w:color w:val="auto"/>
                <w:highlight w:val="none"/>
              </w:rPr>
            </w:pPr>
            <w:r>
              <w:rPr>
                <w:color w:val="auto"/>
                <w:highlight w:val="none"/>
              </w:rPr>
              <w:t>拟在城西镇域内，青年路以西，北四环路以南，建筑面积为</w:t>
            </w:r>
            <w:r>
              <w:rPr>
                <w:rFonts w:ascii="Times New Roman" w:hAnsi="Times New Roman"/>
                <w:b w:val="0"/>
                <w:i w:val="0"/>
                <w:color w:val="auto"/>
                <w:highlight w:val="none"/>
              </w:rPr>
              <w:t>1</w:t>
            </w:r>
            <w:r>
              <w:rPr>
                <w:color w:val="auto"/>
                <w:highlight w:val="none"/>
              </w:rPr>
              <w:t>万平方米，以内科、外科、妇科、儿科、中医科、康复诊疗、住院部及基本公卫为主要服务功能的标准化镇卫生院。</w:t>
            </w:r>
          </w:p>
        </w:tc>
      </w:tr>
      <w:bookmarkEnd w:id="542"/>
      <w:bookmarkEnd w:id="543"/>
      <w:bookmarkEnd w:id="544"/>
    </w:tbl>
    <w:p>
      <w:pPr>
        <w:pStyle w:val="2"/>
        <w:pageBreakBefore w:val="0"/>
        <w:numPr>
          <w:ilvl w:val="0"/>
          <w:numId w:val="0"/>
        </w:numPr>
        <w:wordWrap/>
        <w:overflowPunct/>
        <w:autoSpaceDE/>
        <w:autoSpaceDN/>
        <w:bidi w:val="0"/>
        <w:spacing w:line="530" w:lineRule="exact"/>
        <w:ind w:leftChars="0"/>
        <w:jc w:val="both"/>
        <w:rPr>
          <w:rFonts w:hint="eastAsia"/>
          <w:color w:val="auto"/>
          <w:highlight w:val="none"/>
        </w:rPr>
        <w:sectPr>
          <w:pgSz w:w="11906" w:h="16838"/>
          <w:pgMar w:top="1440" w:right="1800" w:bottom="1440" w:left="1800" w:header="720" w:footer="720" w:gutter="0"/>
          <w:pgNumType w:fmt="decimal"/>
          <w:cols w:space="425" w:num="1"/>
          <w:docGrid w:type="lines" w:linePitch="312" w:charSpace="0"/>
        </w:sectPr>
      </w:pPr>
      <w:bookmarkStart w:id="570" w:name="_Toc574927767"/>
      <w:bookmarkStart w:id="571" w:name="_Toc904333956"/>
      <w:bookmarkStart w:id="572" w:name="_Toc503222897"/>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573" w:name="_Toc1183506721"/>
      <w:bookmarkStart w:id="574" w:name="_Toc1337708747"/>
      <w:bookmarkStart w:id="575" w:name="_Toc1136877299"/>
      <w:bookmarkStart w:id="576" w:name="_Toc873025977"/>
      <w:bookmarkStart w:id="577" w:name="_Toc1503630336"/>
      <w:r>
        <w:rPr>
          <w:rFonts w:hint="eastAsia" w:ascii="方正小标宋简体" w:hAnsi="方正小标宋简体" w:eastAsia="方正小标宋简体" w:cs="方正小标宋简体"/>
          <w:color w:val="auto"/>
          <w:highlight w:val="none"/>
        </w:rPr>
        <w:t>进一步全面深化改革，激发高质量发展蓬勃动力</w:t>
      </w:r>
      <w:bookmarkEnd w:id="570"/>
      <w:bookmarkEnd w:id="571"/>
      <w:bookmarkEnd w:id="572"/>
      <w:bookmarkEnd w:id="573"/>
      <w:bookmarkEnd w:id="574"/>
      <w:bookmarkEnd w:id="575"/>
      <w:bookmarkEnd w:id="576"/>
      <w:bookmarkEnd w:id="577"/>
    </w:p>
    <w:p>
      <w:pPr>
        <w:pStyle w:val="19"/>
        <w:pageBreakBefore w:val="0"/>
        <w:wordWrap/>
        <w:overflowPunct/>
        <w:autoSpaceDE/>
        <w:autoSpaceDN/>
        <w:bidi w:val="0"/>
        <w:spacing w:line="530" w:lineRule="exact"/>
        <w:rPr>
          <w:rFonts w:hint="default"/>
          <w:color w:val="auto"/>
          <w:highlight w:val="none"/>
        </w:rPr>
      </w:pPr>
      <w:r>
        <w:rPr>
          <w:color w:val="auto"/>
          <w:highlight w:val="none"/>
        </w:rPr>
        <w:t>聚焦发展瓶颈与发展需求，系统推进重点领域改革，激发区域发展新动能，培育市场化、法治化、国际化营商环境，健全城乡融合发展体制机制，破除制约高质量发展的体制机制障碍，构建更具活力、更有效率的发展环境，为绿园现代化建设注入强劲动力。</w:t>
      </w:r>
    </w:p>
    <w:p>
      <w:pPr>
        <w:pStyle w:val="3"/>
        <w:pageBreakBefore w:val="0"/>
        <w:wordWrap/>
        <w:overflowPunct/>
        <w:autoSpaceDE/>
        <w:autoSpaceDN/>
        <w:bidi w:val="0"/>
        <w:spacing w:line="530" w:lineRule="exact"/>
        <w:rPr>
          <w:color w:val="auto"/>
          <w:highlight w:val="none"/>
        </w:rPr>
      </w:pPr>
      <w:bookmarkStart w:id="578" w:name="_Toc1203921333"/>
      <w:bookmarkStart w:id="579" w:name="_Toc864610386"/>
      <w:bookmarkStart w:id="580" w:name="_Toc1334756934"/>
      <w:r>
        <w:rPr>
          <w:color w:val="auto"/>
          <w:highlight w:val="none"/>
        </w:rPr>
        <w:t>深化重点领域改革</w:t>
      </w:r>
      <w:bookmarkEnd w:id="578"/>
      <w:bookmarkEnd w:id="579"/>
      <w:bookmarkEnd w:id="580"/>
    </w:p>
    <w:p>
      <w:pPr>
        <w:pStyle w:val="4"/>
        <w:pageBreakBefore w:val="0"/>
        <w:wordWrap/>
        <w:overflowPunct/>
        <w:autoSpaceDE/>
        <w:autoSpaceDN/>
        <w:bidi w:val="0"/>
        <w:spacing w:line="530" w:lineRule="exact"/>
        <w:rPr>
          <w:color w:val="auto"/>
          <w:highlight w:val="none"/>
        </w:rPr>
      </w:pPr>
      <w:bookmarkStart w:id="581" w:name="_Toc714921697"/>
      <w:bookmarkStart w:id="582" w:name="_Toc1632401900"/>
      <w:r>
        <w:rPr>
          <w:color w:val="auto"/>
          <w:highlight w:val="none"/>
        </w:rPr>
        <w:t>深化国资国企高质量发展</w:t>
      </w:r>
      <w:bookmarkEnd w:id="581"/>
      <w:bookmarkEnd w:id="582"/>
    </w:p>
    <w:p>
      <w:pPr>
        <w:pStyle w:val="19"/>
        <w:pageBreakBefore w:val="0"/>
        <w:wordWrap/>
        <w:overflowPunct/>
        <w:autoSpaceDE/>
        <w:autoSpaceDN/>
        <w:bidi w:val="0"/>
        <w:spacing w:line="530" w:lineRule="exact"/>
        <w:rPr>
          <w:rFonts w:hint="eastAsia" w:ascii="Times New Roman" w:hAnsi="Times New Roman" w:cs="Times New Roman"/>
          <w:b/>
          <w:bCs/>
          <w:color w:val="auto"/>
          <w:kern w:val="0"/>
          <w:szCs w:val="32"/>
          <w:highlight w:val="none"/>
          <w:lang w:val="en-US" w:eastAsia="zh-CN" w:bidi="ar"/>
        </w:rPr>
      </w:pPr>
      <w:r>
        <w:rPr>
          <w:rFonts w:hint="eastAsia"/>
          <w:b/>
          <w:bCs/>
          <w:color w:val="auto"/>
          <w:highlight w:val="none"/>
          <w:lang w:val="en-US" w:eastAsia="zh-CN"/>
        </w:rPr>
        <w:t>落实</w:t>
      </w:r>
      <w:r>
        <w:rPr>
          <w:rFonts w:hint="eastAsia" w:ascii="仿宋" w:hAnsi="仿宋" w:eastAsia="仿宋" w:cs="仿宋"/>
          <w:b/>
          <w:bCs/>
          <w:color w:val="auto"/>
          <w:sz w:val="32"/>
          <w:szCs w:val="32"/>
          <w:highlight w:val="none"/>
          <w:lang w:eastAsia="zh-CN"/>
        </w:rPr>
        <w:t>管理升级任务。</w:t>
      </w:r>
      <w:r>
        <w:rPr>
          <w:rFonts w:hint="eastAsia" w:ascii="仿宋" w:hAnsi="仿宋" w:eastAsia="仿宋" w:cs="仿宋"/>
          <w:b w:val="0"/>
          <w:bCs w:val="0"/>
          <w:color w:val="auto"/>
          <w:sz w:val="32"/>
          <w:szCs w:val="32"/>
          <w:highlight w:val="none"/>
          <w:lang w:val="en-US" w:eastAsia="zh-CN"/>
        </w:rPr>
        <w:t>推动上沅集团</w:t>
      </w:r>
      <w:r>
        <w:rPr>
          <w:color w:val="auto"/>
          <w:highlight w:val="none"/>
          <w:lang w:val="en-US" w:eastAsia="zh-CN"/>
        </w:rPr>
        <w:t>围绕打造“强总部、大产业”格局，</w:t>
      </w:r>
      <w:r>
        <w:rPr>
          <w:rFonts w:hint="eastAsia"/>
          <w:color w:val="auto"/>
          <w:highlight w:val="none"/>
          <w:lang w:val="en-US" w:eastAsia="zh-CN"/>
        </w:rPr>
        <w:t>推动其</w:t>
      </w:r>
      <w:r>
        <w:rPr>
          <w:color w:val="auto"/>
          <w:highlight w:val="none"/>
          <w:lang w:val="en-US" w:eastAsia="zh-CN"/>
        </w:rPr>
        <w:t>在战略引领、资本统筹与风险防控等</w:t>
      </w:r>
      <w:r>
        <w:rPr>
          <w:rFonts w:hint="eastAsia"/>
          <w:color w:val="auto"/>
          <w:highlight w:val="none"/>
          <w:lang w:val="en-US" w:eastAsia="zh-CN"/>
        </w:rPr>
        <w:t>方面的</w:t>
      </w:r>
      <w:r>
        <w:rPr>
          <w:color w:val="auto"/>
          <w:highlight w:val="none"/>
          <w:lang w:val="en-US" w:eastAsia="zh-CN"/>
        </w:rPr>
        <w:t>核心职能，提升战略牵引能力。坚持扁平化、集约化管控，维持三级管理架构，严控层级扩张，实现“增控股不增层级，减企业不减效能”。同步构建“事项授权+清单管控”机制，结合各治理主体权责，制定权责与授权清单，依企业分类实施精准管控，充分激发基层活力。</w:t>
      </w:r>
    </w:p>
    <w:p>
      <w:pPr>
        <w:pStyle w:val="19"/>
        <w:pageBreakBefore w:val="0"/>
        <w:wordWrap/>
        <w:overflowPunct/>
        <w:autoSpaceDE/>
        <w:autoSpaceDN/>
        <w:bidi w:val="0"/>
        <w:spacing w:line="530" w:lineRule="exact"/>
        <w:rPr>
          <w:rFonts w:hint="eastAsia"/>
          <w:color w:val="auto"/>
          <w:highlight w:val="none"/>
          <w:lang w:val="en-US" w:eastAsia="zh-CN"/>
        </w:rPr>
      </w:pPr>
      <w:r>
        <w:rPr>
          <w:rFonts w:hint="eastAsia"/>
          <w:b/>
          <w:bCs/>
          <w:color w:val="auto"/>
          <w:highlight w:val="none"/>
          <w:lang w:val="en-US" w:eastAsia="zh-CN"/>
        </w:rPr>
        <w:t>夯实产业发展任务。</w:t>
      </w:r>
      <w:r>
        <w:rPr>
          <w:rFonts w:hint="eastAsia"/>
          <w:color w:val="auto"/>
          <w:highlight w:val="none"/>
          <w:lang w:val="en-US" w:eastAsia="zh-CN"/>
        </w:rPr>
        <w:t>推动上沅集团提质发展，锚定五大主责主业，立足既有产业布局优势，充分激活已接收资产与资源的赋能效应。通过纵向延伸产业链条、横向整合全区供应链资源，重点发力文旅、农业、康养、科技四大板块，构建战略产业链供应链业务闭环，培育形成服务城市发展的战略产业集群。</w:t>
      </w:r>
    </w:p>
    <w:p>
      <w:pPr>
        <w:pStyle w:val="19"/>
        <w:pageBreakBefore w:val="0"/>
        <w:wordWrap/>
        <w:overflowPunct/>
        <w:autoSpaceDE/>
        <w:autoSpaceDN/>
        <w:bidi w:val="0"/>
        <w:spacing w:line="530" w:lineRule="exact"/>
        <w:rPr>
          <w:rFonts w:hint="default"/>
          <w:color w:val="auto"/>
          <w:highlight w:val="none"/>
        </w:rPr>
      </w:pPr>
      <w:r>
        <w:rPr>
          <w:rFonts w:hint="eastAsia"/>
          <w:b/>
          <w:bCs/>
          <w:color w:val="auto"/>
          <w:highlight w:val="none"/>
          <w:lang w:val="en-US" w:eastAsia="zh-CN"/>
        </w:rPr>
        <w:t>扎实</w:t>
      </w:r>
      <w:r>
        <w:rPr>
          <w:rFonts w:hint="eastAsia" w:ascii="仿宋" w:hAnsi="仿宋" w:eastAsia="仿宋" w:cs="仿宋"/>
          <w:b/>
          <w:bCs/>
          <w:color w:val="auto"/>
          <w:sz w:val="32"/>
          <w:szCs w:val="32"/>
          <w:highlight w:val="none"/>
          <w:lang w:eastAsia="zh-CN"/>
        </w:rPr>
        <w:t>资本运作任务。</w:t>
      </w:r>
      <w:r>
        <w:rPr>
          <w:rFonts w:hint="eastAsia" w:ascii="Times New Roman" w:hAnsi="Times New Roman" w:cs="Times New Roman"/>
          <w:b w:val="0"/>
          <w:bCs w:val="0"/>
          <w:color w:val="auto"/>
          <w:kern w:val="0"/>
          <w:szCs w:val="32"/>
          <w:highlight w:val="none"/>
          <w:lang w:val="en-US" w:eastAsia="zh-CN" w:bidi="ar"/>
        </w:rPr>
        <w:t>推动上沅集团</w:t>
      </w:r>
      <w:r>
        <w:rPr>
          <w:rFonts w:hint="default"/>
          <w:color w:val="auto"/>
          <w:highlight w:val="none"/>
        </w:rPr>
        <w:t>打造高水平区属国有资本运作平台，着力提升主体信用评级，通过注入优质资产与争取政策支持，力争</w:t>
      </w:r>
      <w:r>
        <w:rPr>
          <w:rFonts w:hint="default" w:ascii="Times New Roman" w:hAnsi="Times New Roman" w:cs="Times New Roman"/>
          <w:b w:val="0"/>
          <w:i w:val="0"/>
          <w:color w:val="auto"/>
          <w:highlight w:val="none"/>
          <w:lang w:val="en-US" w:eastAsia="zh-CN"/>
        </w:rPr>
        <w:t>2030</w:t>
      </w:r>
      <w:r>
        <w:rPr>
          <w:rFonts w:hint="default" w:ascii="Times New Roman" w:hAnsi="Times New Roman" w:cs="Times New Roman"/>
          <w:color w:val="auto"/>
          <w:highlight w:val="none"/>
          <w:lang w:val="en-US" w:eastAsia="zh-CN"/>
        </w:rPr>
        <w:t>年</w:t>
      </w:r>
      <w:r>
        <w:rPr>
          <w:rFonts w:hint="default" w:ascii="Times New Roman" w:hAnsi="Times New Roman" w:cs="Times New Roman"/>
          <w:color w:val="auto"/>
          <w:highlight w:val="none"/>
        </w:rPr>
        <w:t>达到AA</w:t>
      </w:r>
      <w:r>
        <w:rPr>
          <w:rFonts w:hint="default"/>
          <w:color w:val="auto"/>
          <w:highlight w:val="none"/>
        </w:rPr>
        <w:t>级；同时拓展多元化融资渠道，积极运用政策性金融工具，盘活存量资产，推动绿色债券、科创债券等创新品种落地，持续优化债务结构，严守隐性债务清零底线，筑牢资本安全屏障；并深化与政策性银行、商业银行及证券机构等战略协同，构建信息互通、风险共担的投融资合作机制，共同服务区域高质量发展。</w:t>
      </w:r>
    </w:p>
    <w:p>
      <w:pPr>
        <w:pStyle w:val="4"/>
        <w:pageBreakBefore w:val="0"/>
        <w:wordWrap/>
        <w:overflowPunct/>
        <w:autoSpaceDE/>
        <w:autoSpaceDN/>
        <w:bidi w:val="0"/>
        <w:spacing w:line="530" w:lineRule="exact"/>
        <w:rPr>
          <w:color w:val="auto"/>
          <w:highlight w:val="none"/>
        </w:rPr>
      </w:pPr>
      <w:bookmarkStart w:id="583" w:name="_Toc517956514"/>
      <w:bookmarkStart w:id="584" w:name="_Toc1675142875"/>
      <w:r>
        <w:rPr>
          <w:color w:val="auto"/>
          <w:highlight w:val="none"/>
        </w:rPr>
        <w:t>激发民营经济发展活力</w:t>
      </w:r>
      <w:bookmarkEnd w:id="583"/>
      <w:bookmarkEnd w:id="584"/>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构建民营经济健康成长生态。</w:t>
      </w:r>
      <w:r>
        <w:rPr>
          <w:rFonts w:ascii="Times New Roman" w:hAnsi="Times New Roman" w:cs="Times New Roman"/>
          <w:color w:val="auto"/>
          <w:kern w:val="0"/>
          <w:szCs w:val="32"/>
          <w:highlight w:val="none"/>
          <w:lang w:bidi="ar"/>
        </w:rPr>
        <w:t>立足民营经济统战工作新</w:t>
      </w:r>
      <w:r>
        <w:rPr>
          <w:rFonts w:hint="eastAsia" w:ascii="Times New Roman" w:hAnsi="Times New Roman" w:cs="Times New Roman"/>
          <w:color w:val="auto"/>
          <w:kern w:val="0"/>
          <w:szCs w:val="32"/>
          <w:highlight w:val="none"/>
          <w:lang w:eastAsia="zh-CN" w:bidi="ar"/>
        </w:rPr>
        <w:t>形势</w:t>
      </w:r>
      <w:r>
        <w:rPr>
          <w:rFonts w:ascii="Times New Roman" w:hAnsi="Times New Roman" w:cs="Times New Roman"/>
          <w:color w:val="auto"/>
          <w:kern w:val="0"/>
          <w:szCs w:val="32"/>
          <w:highlight w:val="none"/>
          <w:lang w:bidi="ar"/>
        </w:rPr>
        <w:t>新特点，坚持和落实“两个毫不动摇”，综合施策，着力促进“两个健康”，在引进增量、做大存量方面发挥积极作用。定期召开企业家座谈会，建立企业诉求快速响应平台，构建亲清政商关系。破解民营企业融资难、用地难等问题，扩大政策性融资担保规模，支持民营企业在汽车零部件、智能制造等领域开展技术创新和设备更新。落实市场准入负面清单制度，清理各类不合理壁垒，保障民营企业在汽车后市场服务、装备制造配套等绿园区优势领域公平参与市场竞争。健全民营企业合法权益保护机制，加大产权和企业家权益保护力度，完善司法保护机制，增强民营企业家发展信心。</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强化民营经济创新活力政策支持。</w:t>
      </w:r>
      <w:r>
        <w:rPr>
          <w:rFonts w:ascii="Times New Roman" w:hAnsi="Times New Roman" w:cs="Times New Roman"/>
          <w:color w:val="auto"/>
          <w:kern w:val="0"/>
          <w:szCs w:val="32"/>
          <w:highlight w:val="none"/>
          <w:lang w:bidi="ar"/>
        </w:rPr>
        <w:t>实施精准扶持政策，激发民营经济内生动力，培育更多本土细分领域企业，重点在汽车电子、智能装备、新材料等产业链关键环节培育一批“专精特新”企业。鼓励民营企业参与重大科技专项和产业创新平台建设，支持民营企业与一汽集团、长春理工大学等建立产学研合作联盟，共建技术创新中心和产品测试平台。设立民营企业转型升级引导基金，支持企业开展技术改造和管理创新。完善外商投资服务体系，吸引国际先进技术和管理经验，提升民营经济国际化水平。</w:t>
      </w:r>
    </w:p>
    <w:p>
      <w:pPr>
        <w:pStyle w:val="19"/>
        <w:pageBreakBefore w:val="0"/>
        <w:wordWrap/>
        <w:overflowPunct/>
        <w:autoSpaceDE/>
        <w:autoSpaceDN/>
        <w:bidi w:val="0"/>
        <w:spacing w:line="530" w:lineRule="exact"/>
        <w:ind w:firstLine="643"/>
        <w:rPr>
          <w:rFonts w:hint="default" w:ascii="Times New Roman" w:hAnsi="Times New Roman" w:eastAsia="仿宋" w:cs="Times New Roman"/>
          <w:color w:val="auto"/>
          <w:kern w:val="0"/>
          <w:szCs w:val="32"/>
          <w:highlight w:val="none"/>
          <w:lang w:bidi="ar"/>
        </w:rPr>
      </w:pPr>
      <w:r>
        <w:rPr>
          <w:rFonts w:ascii="Times New Roman" w:hAnsi="Times New Roman" w:cs="Times New Roman"/>
          <w:b/>
          <w:bCs/>
          <w:color w:val="auto"/>
          <w:kern w:val="0"/>
          <w:szCs w:val="32"/>
          <w:highlight w:val="none"/>
          <w:lang w:bidi="ar"/>
        </w:rPr>
        <w:t>强化区域协同招商环境。</w:t>
      </w:r>
      <w:r>
        <w:rPr>
          <w:rFonts w:ascii="Times New Roman" w:hAnsi="Times New Roman" w:cs="Times New Roman"/>
          <w:color w:val="auto"/>
          <w:kern w:val="0"/>
          <w:szCs w:val="32"/>
          <w:highlight w:val="none"/>
          <w:lang w:bidi="ar"/>
        </w:rPr>
        <w:t>主动对接外部资源，探索跨区域合作新模式，搭建“飞地园区”“共建园区”等合作平台，打通要素流动堵点，建立税收分成、指标共享、利益协同等机制，精准承接发达地区产业转移，积极导入创新资源与先进管理经验，推动跨区域产业链互补协作，实现“借势发展、合作共赢”，拓展民营经济发展空间。</w:t>
      </w:r>
    </w:p>
    <w:p>
      <w:pPr>
        <w:pStyle w:val="4"/>
        <w:pageBreakBefore w:val="0"/>
        <w:wordWrap/>
        <w:overflowPunct/>
        <w:autoSpaceDE/>
        <w:autoSpaceDN/>
        <w:bidi w:val="0"/>
        <w:spacing w:line="530" w:lineRule="exact"/>
        <w:rPr>
          <w:color w:val="auto"/>
          <w:highlight w:val="none"/>
        </w:rPr>
      </w:pPr>
      <w:bookmarkStart w:id="585" w:name="_Toc1543909507"/>
      <w:bookmarkStart w:id="586" w:name="_Toc615687955"/>
      <w:r>
        <w:rPr>
          <w:color w:val="auto"/>
          <w:highlight w:val="none"/>
        </w:rPr>
        <w:t>推进要素市场化配置改革</w:t>
      </w:r>
      <w:bookmarkEnd w:id="585"/>
      <w:bookmarkEnd w:id="586"/>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创新产业用地供给机制。</w:t>
      </w:r>
      <w:r>
        <w:rPr>
          <w:rFonts w:ascii="Times New Roman" w:hAnsi="Times New Roman" w:cs="Times New Roman"/>
          <w:color w:val="auto"/>
          <w:kern w:val="0"/>
          <w:szCs w:val="32"/>
          <w:highlight w:val="none"/>
          <w:lang w:bidi="ar"/>
        </w:rPr>
        <w:t>构建工业用地供应体系，推进工业用地弹性出让制度改革，根据产业生命周期和企业实际需求，实施“标准地+承诺制”供地模式，推广长期租赁、先租后让、租让结合等灵活供地方式，降低企业用地成本。建立存量工业用地盘活机制，鼓励企业通过老厂改造、内部挖潜等方式提高土地利用效率，引导产业集聚发展。完善土地二级市场交易规则，健全建设用地使用权转让、出租、抵押机制，促进土地要素顺畅流动，为汽车零部件、装备制造等优势产业项目落地提供空间保障，推动土地资源向高效益、高产出项目集聚。</w:t>
      </w:r>
    </w:p>
    <w:p>
      <w:pPr>
        <w:pStyle w:val="19"/>
        <w:pageBreakBefore w:val="0"/>
        <w:wordWrap/>
        <w:overflowPunct/>
        <w:autoSpaceDE/>
        <w:autoSpaceDN/>
        <w:bidi w:val="0"/>
        <w:spacing w:line="530" w:lineRule="exact"/>
        <w:ind w:firstLine="643"/>
        <w:rPr>
          <w:rFonts w:hint="default" w:ascii="Times New Roman" w:hAnsi="Times New Roman" w:eastAsia="黑体" w:cs="Times New Roman"/>
          <w:color w:val="auto"/>
          <w:kern w:val="0"/>
          <w:sz w:val="28"/>
          <w:szCs w:val="28"/>
          <w:highlight w:val="none"/>
          <w:lang w:bidi="ar"/>
        </w:rPr>
      </w:pPr>
      <w:r>
        <w:rPr>
          <w:rFonts w:ascii="Times New Roman" w:hAnsi="Times New Roman" w:cs="Times New Roman"/>
          <w:b/>
          <w:bCs/>
          <w:color w:val="auto"/>
          <w:kern w:val="0"/>
          <w:szCs w:val="32"/>
          <w:highlight w:val="none"/>
          <w:lang w:bidi="ar"/>
        </w:rPr>
        <w:t>构建全要素协同配置机制。</w:t>
      </w:r>
      <w:r>
        <w:rPr>
          <w:rFonts w:ascii="Times New Roman" w:hAnsi="Times New Roman" w:cs="Times New Roman"/>
          <w:color w:val="auto"/>
          <w:kern w:val="0"/>
          <w:szCs w:val="32"/>
          <w:highlight w:val="none"/>
          <w:lang w:bidi="ar"/>
        </w:rPr>
        <w:t>推动土地、资本、技术、人才等要素市场化协同配置，完善技术要素交易平台，依托一汽研发资源优势，建设区级科技成果转化服务平台，促进汽车电子、智能制造等领域科技成果在绿园区转化落地。建立人才柔性流动机制，支持企业引进高层次创新创业人才，特</w:t>
      </w:r>
      <w:r>
        <w:rPr>
          <w:rFonts w:hint="eastAsia" w:cs="Times New Roman"/>
          <w:color w:val="auto"/>
          <w:kern w:val="0"/>
          <w:szCs w:val="32"/>
          <w:highlight w:val="none"/>
          <w:lang w:eastAsia="zh-CN" w:bidi="ar"/>
        </w:rPr>
        <w:t>别是</w:t>
      </w:r>
      <w:r>
        <w:rPr>
          <w:rFonts w:ascii="Times New Roman" w:hAnsi="Times New Roman" w:cs="Times New Roman"/>
          <w:color w:val="auto"/>
          <w:kern w:val="0"/>
          <w:szCs w:val="32"/>
          <w:highlight w:val="none"/>
          <w:lang w:bidi="ar"/>
        </w:rPr>
        <w:t>在新能源汽车、智能网联汽车等前沿领域引进一批科技领军人才和创新团队，为产业发展提供智力支撑。加快发展多层次资本市场，引导社会资本向战略性新兴产业和现代服务业投资。鼓励金融机构创新金融产品，开发“科技贷”“人才贷”等特色金融产品，缓解科技型中小企业融资难题，提高要素配置效率和全要素生产率，为绿园产业转型升级提供全方位支持。</w:t>
      </w:r>
    </w:p>
    <w:p>
      <w:pPr>
        <w:pStyle w:val="3"/>
        <w:pageBreakBefore w:val="0"/>
        <w:wordWrap/>
        <w:overflowPunct/>
        <w:autoSpaceDE/>
        <w:autoSpaceDN/>
        <w:bidi w:val="0"/>
        <w:spacing w:line="530" w:lineRule="exact"/>
        <w:rPr>
          <w:color w:val="auto"/>
          <w:highlight w:val="none"/>
        </w:rPr>
      </w:pPr>
      <w:bookmarkStart w:id="587" w:name="_Toc442177448"/>
      <w:bookmarkStart w:id="588" w:name="_Toc1291248439"/>
      <w:bookmarkStart w:id="589" w:name="_Toc645613176"/>
      <w:r>
        <w:rPr>
          <w:color w:val="auto"/>
          <w:highlight w:val="none"/>
        </w:rPr>
        <w:t>全面优化营商环境</w:t>
      </w:r>
      <w:bookmarkEnd w:id="587"/>
      <w:bookmarkEnd w:id="588"/>
      <w:bookmarkEnd w:id="589"/>
    </w:p>
    <w:p>
      <w:pPr>
        <w:pStyle w:val="4"/>
        <w:pageBreakBefore w:val="0"/>
        <w:wordWrap/>
        <w:overflowPunct/>
        <w:autoSpaceDE/>
        <w:autoSpaceDN/>
        <w:bidi w:val="0"/>
        <w:spacing w:line="530" w:lineRule="exact"/>
        <w:rPr>
          <w:color w:val="auto"/>
          <w:highlight w:val="none"/>
        </w:rPr>
      </w:pPr>
      <w:bookmarkStart w:id="590" w:name="_Toc1690261338"/>
      <w:bookmarkStart w:id="591" w:name="_Toc1382949916"/>
      <w:r>
        <w:rPr>
          <w:color w:val="auto"/>
          <w:highlight w:val="none"/>
        </w:rPr>
        <w:t>营造市场化营商环境</w:t>
      </w:r>
      <w:bookmarkEnd w:id="590"/>
      <w:bookmarkEnd w:id="591"/>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优化公平竞争的制度环境。</w:t>
      </w:r>
      <w:r>
        <w:rPr>
          <w:rFonts w:ascii="Times New Roman" w:hAnsi="Times New Roman" w:cs="Times New Roman"/>
          <w:color w:val="auto"/>
          <w:kern w:val="0"/>
          <w:szCs w:val="32"/>
          <w:highlight w:val="none"/>
          <w:lang w:bidi="ar"/>
        </w:rPr>
        <w:t>建立健全公平竞争审查“双保险”制度，加强公平竞争审查刚性约束。同步推进市场监管领域监管全覆盖，建立跨部门联合执法机制，减少对企业正常经营干扰。加强对平台经济、共享经济等新业态新模式监管力度，制定适应数字经济发展的竞争政策。定期开展市场竞争状况评估，及时发现和纠正滥用市场支配地位、限制竞争等行为，维护统一开放、竞争有序的市场环境，为各类市场主体创新发展营造公平公正的市场空间。</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推动政务服务提质提效。</w:t>
      </w:r>
      <w:r>
        <w:rPr>
          <w:rFonts w:ascii="Times New Roman" w:hAnsi="Times New Roman" w:cs="Times New Roman"/>
          <w:color w:val="auto"/>
          <w:kern w:val="0"/>
          <w:szCs w:val="32"/>
          <w:highlight w:val="none"/>
          <w:lang w:bidi="ar"/>
        </w:rPr>
        <w:t>推动政务服务高效便捷，加快各级各类服务应用“统进一网”，推动政务服务事项“一网通办”、办理“一次告知”、结果“一网通查”，提升企业和群众获得感。持续推动政务服务模式创新，推进传统政务服务大厅“智慧化”转型升级。创新“AI+政策直达”模式，强化政策直达平台数据归集共享，打造AI应用场景，推动惠企政策搜索、解读、办理智能化，畅通“政策红利</w:t>
      </w:r>
      <w:r>
        <w:rPr>
          <w:rFonts w:hint="eastAsia" w:ascii="Times New Roman" w:hAnsi="Times New Roman" w:cs="Times New Roman"/>
          <w:color w:val="auto"/>
          <w:kern w:val="0"/>
          <w:szCs w:val="32"/>
          <w:highlight w:val="none"/>
          <w:lang w:val="en-US" w:eastAsia="zh-CN" w:bidi="ar"/>
        </w:rPr>
        <w:t>直达快享</w:t>
      </w:r>
      <w:r>
        <w:rPr>
          <w:rFonts w:ascii="Times New Roman" w:hAnsi="Times New Roman" w:cs="Times New Roman"/>
          <w:color w:val="auto"/>
          <w:kern w:val="0"/>
          <w:szCs w:val="32"/>
          <w:highlight w:val="none"/>
          <w:lang w:bidi="ar"/>
        </w:rPr>
        <w:t>”渠道。创新税费征纳互动“云服务”模式，推动更多税费事项全程网办，缩短办税时间，提升办税缴费体验。</w:t>
      </w:r>
    </w:p>
    <w:p>
      <w:pPr>
        <w:pStyle w:val="19"/>
        <w:pageBreakBefore w:val="0"/>
        <w:wordWrap/>
        <w:overflowPunct/>
        <w:autoSpaceDE/>
        <w:autoSpaceDN/>
        <w:bidi w:val="0"/>
        <w:spacing w:line="530" w:lineRule="exact"/>
        <w:ind w:firstLine="643"/>
        <w:rPr>
          <w:rFonts w:hint="default" w:ascii="Times New Roman" w:hAnsi="Times New Roman" w:eastAsia="宋体" w:cs="Times New Roman"/>
          <w:color w:val="auto"/>
          <w:kern w:val="0"/>
          <w:sz w:val="28"/>
          <w:szCs w:val="28"/>
          <w:highlight w:val="none"/>
          <w:lang w:bidi="ar"/>
        </w:rPr>
      </w:pPr>
      <w:r>
        <w:rPr>
          <w:rFonts w:ascii="Times New Roman" w:hAnsi="Times New Roman" w:cs="Times New Roman"/>
          <w:b/>
          <w:bCs/>
          <w:color w:val="auto"/>
          <w:kern w:val="0"/>
          <w:szCs w:val="32"/>
          <w:highlight w:val="none"/>
          <w:lang w:bidi="ar"/>
        </w:rPr>
        <w:t>企业服务创新升级。</w:t>
      </w:r>
      <w:r>
        <w:rPr>
          <w:rFonts w:ascii="Times New Roman" w:hAnsi="Times New Roman" w:cs="Times New Roman"/>
          <w:color w:val="auto"/>
          <w:kern w:val="0"/>
          <w:szCs w:val="32"/>
          <w:highlight w:val="none"/>
          <w:lang w:bidi="ar"/>
        </w:rPr>
        <w:t>破解企业发展瓶颈，围绕开拓市场、降低成本、要素保障等方面为企业赋能，创新“名单式、行业化、分领域”融资对接模式，聚焦重大战略、重点领域和薄弱环节，开展政银企对接，引导金融机构加大对民营小微企业的首贷、续贷、信用贷支持力度，提升融资可得性和覆盖率，着力解决民营企业融资问题。打造“数字+融资”助企服务新模式，积极探索企业经营和纳税过程中产生的税务、工商、医保、社保等信用信息数据在金融领域的应用，加大重点企业包保赋能行动，破解民营小微企业抵押物不足无法融资难题。</w:t>
      </w:r>
    </w:p>
    <w:p>
      <w:pPr>
        <w:pStyle w:val="4"/>
        <w:pageBreakBefore w:val="0"/>
        <w:wordWrap/>
        <w:overflowPunct/>
        <w:autoSpaceDE/>
        <w:autoSpaceDN/>
        <w:bidi w:val="0"/>
        <w:spacing w:line="530" w:lineRule="exact"/>
        <w:rPr>
          <w:color w:val="auto"/>
          <w:highlight w:val="none"/>
        </w:rPr>
      </w:pPr>
      <w:bookmarkStart w:id="592" w:name="_Toc1023726731"/>
      <w:bookmarkStart w:id="593" w:name="_Toc1308625250"/>
      <w:r>
        <w:rPr>
          <w:color w:val="auto"/>
          <w:highlight w:val="none"/>
        </w:rPr>
        <w:t>营造法治化营商环境</w:t>
      </w:r>
      <w:bookmarkEnd w:id="592"/>
      <w:bookmarkEnd w:id="593"/>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构建“信用绿园”支撑体系。</w:t>
      </w:r>
      <w:r>
        <w:rPr>
          <w:rFonts w:ascii="Times New Roman" w:hAnsi="Times New Roman" w:cs="Times New Roman"/>
          <w:color w:val="auto"/>
          <w:kern w:val="0"/>
          <w:szCs w:val="32"/>
          <w:highlight w:val="none"/>
          <w:lang w:bidi="ar"/>
        </w:rPr>
        <w:t>强化信用监管全链条管理，推动信用信息共享与修复，营造诚信市场环境。构建“评价+共享+修复</w:t>
      </w:r>
      <w:r>
        <w:rPr>
          <w:rFonts w:hint="eastAsia" w:ascii="Times New Roman" w:hAnsi="Times New Roman" w:cs="Times New Roman"/>
          <w:color w:val="auto"/>
          <w:kern w:val="0"/>
          <w:szCs w:val="32"/>
          <w:highlight w:val="none"/>
          <w:lang w:val="en-US" w:eastAsia="zh-CN" w:bidi="ar"/>
        </w:rPr>
        <w:t>+应用</w:t>
      </w:r>
      <w:r>
        <w:rPr>
          <w:rFonts w:ascii="Times New Roman" w:hAnsi="Times New Roman" w:cs="Times New Roman"/>
          <w:color w:val="auto"/>
          <w:kern w:val="0"/>
          <w:szCs w:val="32"/>
          <w:highlight w:val="none"/>
          <w:lang w:bidi="ar"/>
        </w:rPr>
        <w:t>”全链条信用体系。推动信用信息共享，完善事前核查、事中评价、事后修复的全链条服务体系，增强市场自律性。加强知识产权源头保护，完善知识产权协同保护机制，推进“守护知识产权”专项行动，加大商业秘密保护力度。</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创新营商监管模式。</w:t>
      </w:r>
      <w:r>
        <w:rPr>
          <w:rFonts w:ascii="Times New Roman" w:hAnsi="Times New Roman" w:cs="Times New Roman"/>
          <w:color w:val="auto"/>
          <w:kern w:val="0"/>
          <w:szCs w:val="32"/>
          <w:highlight w:val="none"/>
          <w:lang w:bidi="ar"/>
        </w:rPr>
        <w:t>构建科学高效、精准适度的监管体系，全面推行“无事不扰、有事必到、服务周到、说到做到”服务理念，实施跨部门联合“双随机、一公开”监管，抽查计划完成率、抽查结果公示率均达到</w:t>
      </w:r>
      <w:r>
        <w:rPr>
          <w:rFonts w:ascii="Times New Roman" w:hAnsi="Times New Roman" w:cs="Times New Roman"/>
          <w:b w:val="0"/>
          <w:i w:val="0"/>
          <w:color w:val="auto"/>
          <w:kern w:val="0"/>
          <w:szCs w:val="32"/>
          <w:highlight w:val="none"/>
          <w:lang w:bidi="ar"/>
        </w:rPr>
        <w:t>100</w:t>
      </w:r>
      <w:r>
        <w:rPr>
          <w:rFonts w:ascii="Times New Roman" w:hAnsi="Times New Roman" w:cs="Times New Roman"/>
          <w:color w:val="auto"/>
          <w:kern w:val="0"/>
          <w:szCs w:val="32"/>
          <w:highlight w:val="none"/>
          <w:lang w:bidi="ar"/>
        </w:rPr>
        <w:t>%。深化行政检查备案智能管理改革，以涉企乱检查整治工作为切入点，全域全覆盖推行一体化行政检查备案智能管理，重点推行</w:t>
      </w:r>
      <w:r>
        <w:rPr>
          <w:rFonts w:hint="eastAsia" w:cs="Times New Roman"/>
          <w:color w:val="auto"/>
          <w:kern w:val="0"/>
          <w:szCs w:val="32"/>
          <w:highlight w:val="none"/>
          <w:lang w:eastAsia="zh-CN" w:bidi="ar"/>
        </w:rPr>
        <w:t>“无感检查”</w:t>
      </w:r>
      <w:r>
        <w:rPr>
          <w:rFonts w:ascii="Times New Roman" w:hAnsi="Times New Roman" w:cs="Times New Roman"/>
          <w:color w:val="auto"/>
          <w:kern w:val="0"/>
          <w:szCs w:val="32"/>
          <w:highlight w:val="none"/>
          <w:lang w:bidi="ar"/>
        </w:rPr>
        <w:t>、非现场检查，减少重点领域监管事项外的无计划日常巡查，重复检查率控制在</w:t>
      </w:r>
      <w:r>
        <w:rPr>
          <w:rFonts w:ascii="Times New Roman" w:hAnsi="Times New Roman" w:cs="Times New Roman"/>
          <w:b w:val="0"/>
          <w:i w:val="0"/>
          <w:color w:val="auto"/>
          <w:kern w:val="0"/>
          <w:szCs w:val="32"/>
          <w:highlight w:val="none"/>
          <w:lang w:bidi="ar"/>
        </w:rPr>
        <w:t>2</w:t>
      </w:r>
      <w:r>
        <w:rPr>
          <w:rFonts w:ascii="Times New Roman" w:hAnsi="Times New Roman" w:cs="Times New Roman"/>
          <w:color w:val="auto"/>
          <w:kern w:val="0"/>
          <w:szCs w:val="32"/>
          <w:highlight w:val="none"/>
          <w:lang w:bidi="ar"/>
        </w:rPr>
        <w:t>%以内。</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优化营商执法制度。</w:t>
      </w:r>
      <w:r>
        <w:rPr>
          <w:rFonts w:ascii="Times New Roman" w:hAnsi="Times New Roman" w:cs="Times New Roman"/>
          <w:color w:val="auto"/>
          <w:kern w:val="0"/>
          <w:szCs w:val="32"/>
          <w:highlight w:val="none"/>
          <w:lang w:bidi="ar"/>
        </w:rPr>
        <w:t>健全柔性执法机制，规范行政执法行为，提升执法公正性与合理性，动态调整行政执法事项清单、“四张清单”及“首违不罚”事项清单并公示备案，全面落实</w:t>
      </w:r>
      <w:r>
        <w:rPr>
          <w:rFonts w:hint="eastAsia" w:ascii="Times New Roman" w:hAnsi="Times New Roman" w:cs="Times New Roman"/>
          <w:color w:val="auto"/>
          <w:kern w:val="0"/>
          <w:szCs w:val="32"/>
          <w:highlight w:val="none"/>
          <w:lang w:eastAsia="zh-CN" w:bidi="ar"/>
        </w:rPr>
        <w:t>行政裁量权基准制度</w:t>
      </w:r>
      <w:r>
        <w:rPr>
          <w:rFonts w:ascii="Times New Roman" w:hAnsi="Times New Roman" w:cs="Times New Roman"/>
          <w:color w:val="auto"/>
          <w:kern w:val="0"/>
          <w:szCs w:val="32"/>
          <w:highlight w:val="none"/>
          <w:lang w:bidi="ar"/>
        </w:rPr>
        <w:t>，加强动态管理和备案审查，确保柔性执法制度公正合理运用。全力规范涉企行政执法检查，建立分级分类检查制度，明确检查主体，推进数据资源共享与跨部门联动，避免重复检查，减轻企业负担。全面推行服务型执法。</w:t>
      </w:r>
    </w:p>
    <w:p>
      <w:pPr>
        <w:pStyle w:val="4"/>
        <w:pageBreakBefore w:val="0"/>
        <w:wordWrap/>
        <w:overflowPunct/>
        <w:autoSpaceDE/>
        <w:autoSpaceDN/>
        <w:bidi w:val="0"/>
        <w:spacing w:line="530" w:lineRule="exact"/>
        <w:rPr>
          <w:color w:val="auto"/>
          <w:highlight w:val="none"/>
        </w:rPr>
      </w:pPr>
      <w:bookmarkStart w:id="594" w:name="_Toc1684547823"/>
      <w:bookmarkStart w:id="595" w:name="_Toc136188153"/>
      <w:r>
        <w:rPr>
          <w:color w:val="auto"/>
          <w:highlight w:val="none"/>
        </w:rPr>
        <w:t>营造国际化营商环境</w:t>
      </w:r>
      <w:bookmarkEnd w:id="594"/>
      <w:bookmarkEnd w:id="595"/>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保障外资公平参与政府采购。</w:t>
      </w:r>
      <w:r>
        <w:rPr>
          <w:rFonts w:ascii="Times New Roman" w:hAnsi="Times New Roman" w:cs="Times New Roman"/>
          <w:color w:val="auto"/>
          <w:kern w:val="0"/>
          <w:szCs w:val="32"/>
          <w:highlight w:val="none"/>
          <w:lang w:bidi="ar"/>
        </w:rPr>
        <w:t>深入开展政府采购领域“四类”违法违规行为专项整治，保障外资企业政府采购国民待遇。重点打击以不合理条件限定供应商、差别待遇等行为，确保外资企业平等参与政府采购活动。</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创新外资企业服务机制。</w:t>
      </w:r>
      <w:r>
        <w:rPr>
          <w:rFonts w:ascii="Times New Roman" w:hAnsi="Times New Roman" w:cs="Times New Roman"/>
          <w:color w:val="auto"/>
          <w:kern w:val="0"/>
          <w:szCs w:val="32"/>
          <w:highlight w:val="none"/>
          <w:lang w:bidi="ar"/>
        </w:rPr>
        <w:t>构建常态化对接重点外资企业项目机制，健全“诉求直通”服务，完善直通式指导服务工作体系。整合涉外法律服务资源，为外资企业“走出去”和“引进来”提供个性化、优质化法律服务，打造高效便捷的外资服务新模式。</w:t>
      </w:r>
    </w:p>
    <w:p>
      <w:pPr>
        <w:pStyle w:val="3"/>
        <w:pageBreakBefore w:val="0"/>
        <w:wordWrap/>
        <w:overflowPunct/>
        <w:autoSpaceDE/>
        <w:autoSpaceDN/>
        <w:bidi w:val="0"/>
        <w:spacing w:line="530" w:lineRule="exact"/>
        <w:rPr>
          <w:color w:val="auto"/>
          <w:highlight w:val="none"/>
        </w:rPr>
      </w:pPr>
      <w:bookmarkStart w:id="596" w:name="_Toc1733264388"/>
      <w:bookmarkStart w:id="597" w:name="_Toc1844203416"/>
      <w:bookmarkStart w:id="598" w:name="_Toc1918342760"/>
      <w:r>
        <w:rPr>
          <w:color w:val="auto"/>
          <w:highlight w:val="none"/>
        </w:rPr>
        <w:t>健全城乡融合发展体制机制</w:t>
      </w:r>
      <w:bookmarkEnd w:id="596"/>
      <w:bookmarkEnd w:id="597"/>
      <w:bookmarkEnd w:id="598"/>
    </w:p>
    <w:p>
      <w:pPr>
        <w:pStyle w:val="4"/>
        <w:pageBreakBefore w:val="0"/>
        <w:wordWrap/>
        <w:overflowPunct/>
        <w:autoSpaceDE/>
        <w:autoSpaceDN/>
        <w:bidi w:val="0"/>
        <w:spacing w:line="530" w:lineRule="exact"/>
        <w:rPr>
          <w:color w:val="auto"/>
          <w:highlight w:val="none"/>
        </w:rPr>
      </w:pPr>
      <w:bookmarkStart w:id="599" w:name="_Toc895335561"/>
      <w:bookmarkStart w:id="600" w:name="_Toc1414774909"/>
      <w:r>
        <w:rPr>
          <w:color w:val="auto"/>
          <w:highlight w:val="none"/>
        </w:rPr>
        <w:t>建立城乡人口有序流动迁徙机制</w:t>
      </w:r>
      <w:bookmarkEnd w:id="599"/>
      <w:bookmarkEnd w:id="600"/>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推动农业转移人口市民化。</w:t>
      </w:r>
      <w:r>
        <w:rPr>
          <w:rFonts w:ascii="Times New Roman" w:hAnsi="Times New Roman" w:cs="Times New Roman"/>
          <w:color w:val="auto"/>
          <w:kern w:val="0"/>
          <w:szCs w:val="32"/>
          <w:highlight w:val="none"/>
          <w:lang w:bidi="ar"/>
        </w:rPr>
        <w:t>健全农业转移人口就近城镇化机制，引导合心镇、西新镇</w:t>
      </w:r>
      <w:r>
        <w:rPr>
          <w:rFonts w:hint="eastAsia" w:ascii="Times New Roman" w:hAnsi="Times New Roman" w:cs="Times New Roman"/>
          <w:color w:val="auto"/>
          <w:kern w:val="0"/>
          <w:szCs w:val="32"/>
          <w:highlight w:val="none"/>
          <w:lang w:eastAsia="zh-CN" w:bidi="ar"/>
        </w:rPr>
        <w:t>、</w:t>
      </w:r>
      <w:r>
        <w:rPr>
          <w:rFonts w:hint="eastAsia" w:ascii="Times New Roman" w:hAnsi="Times New Roman" w:cs="Times New Roman"/>
          <w:color w:val="auto"/>
          <w:kern w:val="0"/>
          <w:szCs w:val="32"/>
          <w:highlight w:val="none"/>
          <w:lang w:val="en-US" w:eastAsia="zh-CN" w:bidi="ar"/>
        </w:rPr>
        <w:t>城西镇</w:t>
      </w:r>
      <w:r>
        <w:rPr>
          <w:rFonts w:ascii="Times New Roman" w:hAnsi="Times New Roman" w:cs="Times New Roman"/>
          <w:color w:val="auto"/>
          <w:kern w:val="0"/>
          <w:szCs w:val="32"/>
          <w:highlight w:val="none"/>
          <w:lang w:bidi="ar"/>
        </w:rPr>
        <w:t>等近郊农村人口向主城区有序转移，促进农民工特别是新生代农民工融入城市。完善集体经济组织人力资源培育和开发利用机制，探索农业职业经理人培育模式，支持新型职业农民参与现代农业发展。</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建立成本分担机制。</w:t>
      </w:r>
      <w:r>
        <w:rPr>
          <w:rFonts w:ascii="Times New Roman" w:hAnsi="Times New Roman" w:cs="Times New Roman"/>
          <w:color w:val="auto"/>
          <w:kern w:val="0"/>
          <w:szCs w:val="32"/>
          <w:highlight w:val="none"/>
          <w:lang w:bidi="ar"/>
        </w:rPr>
        <w:t>建立健全由政府、企业、个人共同参与的农业转移人口市民化成本分担机制，明确各方责任与分担比例。维护进城落户农民土地承包权、宅基地使用权、集体收益分配权，确保农民进城后原有权益不受损。完善农业转移人口社会保障体系，推动进城农民平等享受城镇基本公共服务，逐步实现教育、医疗、住房等公共服务均等化。</w:t>
      </w:r>
    </w:p>
    <w:p>
      <w:pPr>
        <w:pStyle w:val="19"/>
        <w:pageBreakBefore w:val="0"/>
        <w:wordWrap/>
        <w:overflowPunct/>
        <w:autoSpaceDE/>
        <w:autoSpaceDN/>
        <w:bidi w:val="0"/>
        <w:spacing w:line="530" w:lineRule="exact"/>
        <w:ind w:firstLine="643"/>
        <w:rPr>
          <w:rFonts w:hint="default" w:ascii="Times New Roman" w:hAnsi="Times New Roman" w:eastAsia="宋体" w:cs="Times New Roman"/>
          <w:color w:val="auto"/>
          <w:kern w:val="0"/>
          <w:sz w:val="28"/>
          <w:szCs w:val="28"/>
          <w:highlight w:val="none"/>
          <w:lang w:bidi="ar"/>
        </w:rPr>
      </w:pPr>
      <w:r>
        <w:rPr>
          <w:rFonts w:ascii="Times New Roman" w:hAnsi="Times New Roman" w:cs="Times New Roman"/>
          <w:b/>
          <w:bCs/>
          <w:color w:val="auto"/>
          <w:kern w:val="0"/>
          <w:szCs w:val="32"/>
          <w:highlight w:val="none"/>
          <w:lang w:bidi="ar"/>
        </w:rPr>
        <w:t>优化人力资源配置。</w:t>
      </w:r>
      <w:r>
        <w:rPr>
          <w:rFonts w:ascii="Times New Roman" w:hAnsi="Times New Roman" w:cs="Times New Roman"/>
          <w:color w:val="auto"/>
          <w:kern w:val="0"/>
          <w:szCs w:val="32"/>
          <w:highlight w:val="none"/>
          <w:lang w:bidi="ar"/>
        </w:rPr>
        <w:t>健全统一的人力资源市场体系，打破城乡、行业、身份等限制，推动劳动力市场流动。建立城乡人才联合培养机制，鼓励城市专业人才服务农村，支持农村实用人才进城就业创业。完善人才引进政策，吸引高校毕业生、退伍军人、外出务工人员返乡创业就业，为农业农村发展注入新活力。</w:t>
      </w:r>
    </w:p>
    <w:p>
      <w:pPr>
        <w:pStyle w:val="4"/>
        <w:pageBreakBefore w:val="0"/>
        <w:wordWrap/>
        <w:overflowPunct/>
        <w:autoSpaceDE/>
        <w:autoSpaceDN/>
        <w:bidi w:val="0"/>
        <w:spacing w:line="530" w:lineRule="exact"/>
        <w:rPr>
          <w:color w:val="auto"/>
          <w:highlight w:val="none"/>
        </w:rPr>
      </w:pPr>
      <w:bookmarkStart w:id="601" w:name="_Toc486859198"/>
      <w:bookmarkStart w:id="602" w:name="_Toc1182955979"/>
      <w:r>
        <w:rPr>
          <w:color w:val="auto"/>
          <w:highlight w:val="none"/>
        </w:rPr>
        <w:t>推进农村土地制度改革</w:t>
      </w:r>
      <w:bookmarkEnd w:id="601"/>
      <w:bookmarkEnd w:id="602"/>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完善承包地</w:t>
      </w:r>
      <w:r>
        <w:rPr>
          <w:rFonts w:hint="eastAsia" w:cs="Times New Roman"/>
          <w:b/>
          <w:bCs/>
          <w:color w:val="auto"/>
          <w:kern w:val="0"/>
          <w:szCs w:val="32"/>
          <w:highlight w:val="none"/>
          <w:lang w:eastAsia="zh-CN" w:bidi="ar"/>
        </w:rPr>
        <w:t>“三权分置”</w:t>
      </w:r>
      <w:r>
        <w:rPr>
          <w:rFonts w:ascii="Times New Roman" w:hAnsi="Times New Roman" w:cs="Times New Roman"/>
          <w:b/>
          <w:bCs/>
          <w:color w:val="auto"/>
          <w:kern w:val="0"/>
          <w:szCs w:val="32"/>
          <w:highlight w:val="none"/>
          <w:lang w:bidi="ar"/>
        </w:rPr>
        <w:t>制度。</w:t>
      </w:r>
      <w:r>
        <w:rPr>
          <w:rFonts w:ascii="Times New Roman" w:hAnsi="Times New Roman" w:cs="Times New Roman"/>
          <w:color w:val="auto"/>
          <w:kern w:val="0"/>
          <w:szCs w:val="32"/>
          <w:highlight w:val="none"/>
          <w:lang w:bidi="ar"/>
        </w:rPr>
        <w:t>支持集体经济组织采取“集体经济+土地流转”“集体经济+租赁入股”等方式，对农村承包地统一规划、经营和开发利用，提高土地利用效率。稳定农户承包权，保持土地承包关系稳定。探索土地经营权流转和农业适度规模经营新模式，鼓励农户将土地经营权</w:t>
      </w:r>
      <w:r>
        <w:rPr>
          <w:rFonts w:hint="eastAsia" w:ascii="Times New Roman" w:hAnsi="Times New Roman" w:cs="Times New Roman"/>
          <w:color w:val="auto"/>
          <w:kern w:val="0"/>
          <w:szCs w:val="32"/>
          <w:highlight w:val="none"/>
          <w:lang w:eastAsia="zh-CN" w:bidi="ar"/>
        </w:rPr>
        <w:t>依法自愿</w:t>
      </w:r>
      <w:r>
        <w:rPr>
          <w:rFonts w:ascii="Times New Roman" w:hAnsi="Times New Roman" w:cs="Times New Roman"/>
          <w:color w:val="auto"/>
          <w:kern w:val="0"/>
          <w:szCs w:val="32"/>
          <w:highlight w:val="none"/>
          <w:lang w:bidi="ar"/>
        </w:rPr>
        <w:t>向专业大户、家庭农场、农民合作社等新型农业经营主体集中，发展多种形式适度规模经营，提高农业集约化、专业化水平。</w:t>
      </w:r>
    </w:p>
    <w:p>
      <w:pPr>
        <w:pStyle w:val="19"/>
        <w:pageBreakBefore w:val="0"/>
        <w:wordWrap/>
        <w:overflowPunct/>
        <w:autoSpaceDE/>
        <w:autoSpaceDN/>
        <w:bidi w:val="0"/>
        <w:spacing w:line="530" w:lineRule="exact"/>
        <w:ind w:firstLine="643"/>
        <w:rPr>
          <w:rFonts w:hint="default" w:ascii="Times New Roman" w:hAnsi="Times New Roman" w:eastAsia="宋体" w:cs="Times New Roman"/>
          <w:color w:val="auto"/>
          <w:kern w:val="0"/>
          <w:sz w:val="28"/>
          <w:szCs w:val="28"/>
          <w:highlight w:val="none"/>
          <w:lang w:bidi="ar"/>
        </w:rPr>
      </w:pPr>
      <w:r>
        <w:rPr>
          <w:rFonts w:ascii="Times New Roman" w:hAnsi="Times New Roman" w:cs="Times New Roman"/>
          <w:b/>
          <w:bCs/>
          <w:color w:val="auto"/>
          <w:kern w:val="0"/>
          <w:szCs w:val="32"/>
          <w:highlight w:val="none"/>
          <w:lang w:bidi="ar"/>
        </w:rPr>
        <w:t>推进农村集体经营性建设用地入市。</w:t>
      </w:r>
      <w:r>
        <w:rPr>
          <w:rFonts w:ascii="Times New Roman" w:hAnsi="Times New Roman" w:cs="Times New Roman"/>
          <w:color w:val="auto"/>
          <w:kern w:val="0"/>
          <w:szCs w:val="32"/>
          <w:highlight w:val="none"/>
          <w:lang w:bidi="ar"/>
        </w:rPr>
        <w:t>完善农村集体经营性建设用地入市制度，明确入市范围、程序和收益分配机制，确保集体经营性建设用地与国有土地同等入市、同权同价。鼓励农村集体经济组织利用集体经营性建设用地建设标准厂房、仓储物流设施等，发展农产品加工、仓储保鲜、冷链物流等产业，促进农村一二三产业融合发展。加强入市土地用途管制和市场监管，防止土地资源浪费和违法违规用地行为，确保农村集体经营性建设用地入市规范有序。</w:t>
      </w:r>
    </w:p>
    <w:p>
      <w:pPr>
        <w:pStyle w:val="4"/>
        <w:pageBreakBefore w:val="0"/>
        <w:wordWrap/>
        <w:overflowPunct/>
        <w:autoSpaceDE/>
        <w:autoSpaceDN/>
        <w:bidi w:val="0"/>
        <w:spacing w:line="530" w:lineRule="exact"/>
        <w:rPr>
          <w:color w:val="auto"/>
          <w:highlight w:val="none"/>
        </w:rPr>
      </w:pPr>
      <w:bookmarkStart w:id="603" w:name="_Toc729845716"/>
      <w:bookmarkStart w:id="604" w:name="_Toc537535127"/>
      <w:r>
        <w:rPr>
          <w:color w:val="auto"/>
          <w:highlight w:val="none"/>
        </w:rPr>
        <w:t>完善农村金融服务体系</w:t>
      </w:r>
      <w:bookmarkEnd w:id="603"/>
      <w:bookmarkEnd w:id="604"/>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hint="eastAsia" w:ascii="Times New Roman" w:hAnsi="Times New Roman" w:cs="Times New Roman"/>
          <w:b/>
          <w:bCs/>
          <w:color w:val="auto"/>
          <w:kern w:val="0"/>
          <w:szCs w:val="32"/>
          <w:highlight w:val="none"/>
          <w:lang w:val="en-US" w:eastAsia="zh-CN" w:bidi="ar"/>
        </w:rPr>
        <w:t>探索</w:t>
      </w:r>
      <w:r>
        <w:rPr>
          <w:rFonts w:ascii="Times New Roman" w:hAnsi="Times New Roman" w:cs="Times New Roman"/>
          <w:b/>
          <w:bCs/>
          <w:color w:val="auto"/>
          <w:kern w:val="0"/>
          <w:szCs w:val="32"/>
          <w:highlight w:val="none"/>
          <w:lang w:bidi="ar"/>
        </w:rPr>
        <w:t>农村金融服务平台。</w:t>
      </w:r>
      <w:r>
        <w:rPr>
          <w:rFonts w:ascii="Times New Roman" w:hAnsi="Times New Roman" w:cs="Times New Roman"/>
          <w:color w:val="auto"/>
          <w:kern w:val="0"/>
          <w:szCs w:val="32"/>
          <w:highlight w:val="none"/>
          <w:lang w:bidi="ar"/>
        </w:rPr>
        <w:t>发挥现有金融综合服务平台作用，打造区级农村金融服务中心，整合金融、保险、担保等资源，为农业农村提供一站式金融服务。鼓励金融机构在合心、西新镇</w:t>
      </w:r>
      <w:r>
        <w:rPr>
          <w:rFonts w:hint="eastAsia" w:ascii="Times New Roman" w:hAnsi="Times New Roman" w:cs="Times New Roman"/>
          <w:color w:val="auto"/>
          <w:kern w:val="0"/>
          <w:szCs w:val="32"/>
          <w:highlight w:val="none"/>
          <w:lang w:eastAsia="zh-CN" w:bidi="ar"/>
        </w:rPr>
        <w:t>、</w:t>
      </w:r>
      <w:r>
        <w:rPr>
          <w:rFonts w:hint="eastAsia" w:ascii="Times New Roman" w:hAnsi="Times New Roman" w:cs="Times New Roman"/>
          <w:color w:val="auto"/>
          <w:kern w:val="0"/>
          <w:szCs w:val="32"/>
          <w:highlight w:val="none"/>
          <w:lang w:val="en-US" w:eastAsia="zh-CN" w:bidi="ar"/>
        </w:rPr>
        <w:t>城西镇</w:t>
      </w:r>
      <w:r>
        <w:rPr>
          <w:rFonts w:ascii="Times New Roman" w:hAnsi="Times New Roman" w:cs="Times New Roman"/>
          <w:color w:val="auto"/>
          <w:kern w:val="0"/>
          <w:szCs w:val="32"/>
          <w:highlight w:val="none"/>
          <w:lang w:bidi="ar"/>
        </w:rPr>
        <w:t>设立普惠金融服务站，延伸服务触角，提高农村地区金融网点覆盖率。支持发展农村数字普惠金融，推广手机银行、移动支付等数字化金融服务，解决农村地区金融服务“最后一公里”问题。积极引导社会资本参与农村金融服务，鼓励设立服务“三农”的小型金融机构，形成多元化农村金融服务格局，满足不同层次农村金融需求。</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hint="eastAsia" w:ascii="Times New Roman" w:hAnsi="Times New Roman" w:cs="Times New Roman"/>
          <w:b/>
          <w:bCs/>
          <w:color w:val="auto"/>
          <w:kern w:val="0"/>
          <w:szCs w:val="32"/>
          <w:highlight w:val="none"/>
          <w:lang w:val="en-US" w:eastAsia="zh-CN" w:bidi="ar"/>
        </w:rPr>
        <w:t>探索</w:t>
      </w:r>
      <w:r>
        <w:rPr>
          <w:rFonts w:ascii="Times New Roman" w:hAnsi="Times New Roman" w:cs="Times New Roman"/>
          <w:b/>
          <w:bCs/>
          <w:color w:val="auto"/>
          <w:kern w:val="0"/>
          <w:szCs w:val="32"/>
          <w:highlight w:val="none"/>
          <w:lang w:bidi="ar"/>
        </w:rPr>
        <w:t>农村金融产品和服务模式。</w:t>
      </w:r>
      <w:r>
        <w:rPr>
          <w:rFonts w:hint="eastAsia" w:ascii="Times New Roman" w:hAnsi="Times New Roman" w:cs="Times New Roman"/>
          <w:color w:val="auto"/>
          <w:kern w:val="0"/>
          <w:szCs w:val="32"/>
          <w:highlight w:val="none"/>
          <w:lang w:val="en-US" w:eastAsia="zh-CN" w:bidi="ar"/>
        </w:rPr>
        <w:t>探索</w:t>
      </w:r>
      <w:r>
        <w:rPr>
          <w:rFonts w:ascii="Times New Roman" w:hAnsi="Times New Roman" w:cs="Times New Roman"/>
          <w:color w:val="auto"/>
          <w:kern w:val="0"/>
          <w:szCs w:val="32"/>
          <w:highlight w:val="none"/>
          <w:lang w:bidi="ar"/>
        </w:rPr>
        <w:t>抵押担保方式，依法合规开展农村集体经营性建设用地使用权、农民住房财产权、农村承包土地经营权、集体资产股权等抵押融资，探索开展农产品订单、仓单、应收账款等权利质押贷款，解决农业经营主体抵押物不足问题。完善涉农信贷风险分担机制，探索建立农业信贷风险补偿基金，降低金融机构放贷风险。扩大乡村振兴产业发展贷款规模，对家庭农场、农民合作社、龙头企业等新型农业经营主体给予重点支持。鼓励金融机构开发特色金融产品，提供差异化、精准化金融服务，满足农业农村多元化融资需求。</w:t>
      </w:r>
    </w:p>
    <w:p>
      <w:pPr>
        <w:pStyle w:val="19"/>
        <w:pageBreakBefore w:val="0"/>
        <w:wordWrap/>
        <w:overflowPunct/>
        <w:autoSpaceDE/>
        <w:autoSpaceDN/>
        <w:bidi w:val="0"/>
        <w:spacing w:line="530" w:lineRule="exact"/>
        <w:ind w:firstLine="643"/>
        <w:rPr>
          <w:rFonts w:hint="default" w:ascii="Times New Roman" w:hAnsi="Times New Roman" w:cs="Times New Roman"/>
          <w:color w:val="auto"/>
          <w:kern w:val="0"/>
          <w:szCs w:val="32"/>
          <w:highlight w:val="none"/>
          <w:lang w:bidi="ar"/>
        </w:rPr>
      </w:pPr>
      <w:r>
        <w:rPr>
          <w:rFonts w:ascii="Times New Roman" w:hAnsi="Times New Roman" w:cs="Times New Roman"/>
          <w:b/>
          <w:bCs/>
          <w:color w:val="auto"/>
          <w:kern w:val="0"/>
          <w:szCs w:val="32"/>
          <w:highlight w:val="none"/>
          <w:lang w:bidi="ar"/>
        </w:rPr>
        <w:t>完善农业保险制度。</w:t>
      </w:r>
      <w:r>
        <w:rPr>
          <w:rFonts w:ascii="Times New Roman" w:hAnsi="Times New Roman" w:cs="Times New Roman"/>
          <w:color w:val="auto"/>
          <w:kern w:val="0"/>
          <w:szCs w:val="32"/>
          <w:highlight w:val="none"/>
          <w:lang w:bidi="ar"/>
        </w:rPr>
        <w:t>扩大农业保险覆盖面，提高保障水平，开发蔬菜、水果、花卉等经济作物保险产品，畜禽养殖、水产养殖等特色农业保险产品，满足不同农业经营主体风险保障需求。完善农业保险理赔机制，简化理赔流程，提高理赔效率，确保受灾农户及时获得赔付。建立健全农村金融风险防范处置机制，加强对农村金融机构监管，规范农村民间借贷行为，防范非法集资风险，维护农村金融秩序稳定，为农业农村发展营造良好金融环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E7E6E6" w:themeFill="background2"/>
          </w:tcPr>
          <w:p>
            <w:pPr>
              <w:pStyle w:val="20"/>
              <w:keepNext w:val="0"/>
              <w:keepLines w:val="0"/>
              <w:pageBreakBefore w:val="0"/>
              <w:widowControl w:val="0"/>
              <w:wordWrap/>
              <w:overflowPunct/>
              <w:topLinePunct w:val="0"/>
              <w:autoSpaceDE/>
              <w:autoSpaceDN/>
              <w:bidi w:val="0"/>
              <w:spacing w:line="530" w:lineRule="exact"/>
              <w:rPr>
                <w:color w:val="auto"/>
                <w:sz w:val="24"/>
                <w:highlight w:val="none"/>
              </w:rPr>
            </w:pPr>
            <w:r>
              <w:rPr>
                <w:color w:val="auto"/>
                <w:highlight w:val="none"/>
              </w:rPr>
              <w:t xml:space="preserve">专栏 </w:t>
            </w:r>
            <w:r>
              <w:rPr>
                <w:rFonts w:hint="eastAsia"/>
                <w:color w:val="auto"/>
                <w:highlight w:val="none"/>
                <w:lang w:val="en-US" w:eastAsia="zh-CN"/>
              </w:rPr>
              <w:t xml:space="preserve">9 </w:t>
            </w:r>
            <w:r>
              <w:rPr>
                <w:rFonts w:eastAsia="楷体_GB2312"/>
                <w:color w:val="auto"/>
                <w:szCs w:val="36"/>
                <w:highlight w:val="none"/>
              </w:rPr>
              <w:t>进一步全面深化改革重点项目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2"/>
              <w:keepNext w:val="0"/>
              <w:keepLines w:val="0"/>
              <w:pageBreakBefore w:val="0"/>
              <w:widowControl w:val="0"/>
              <w:wordWrap/>
              <w:overflowPunct/>
              <w:topLinePunct w:val="0"/>
              <w:autoSpaceDE/>
              <w:autoSpaceDN/>
              <w:bidi w:val="0"/>
              <w:spacing w:line="530" w:lineRule="exact"/>
              <w:rPr>
                <w:color w:val="auto"/>
                <w:highlight w:val="none"/>
              </w:rPr>
            </w:pPr>
            <w:r>
              <w:rPr>
                <w:rFonts w:ascii="Times New Roman" w:hAnsi="Times New Roman"/>
                <w:b w:val="0"/>
                <w:i w:val="0"/>
                <w:color w:val="auto"/>
                <w:highlight w:val="none"/>
              </w:rPr>
              <w:t>1</w:t>
            </w:r>
            <w:r>
              <w:rPr>
                <w:color w:val="auto"/>
                <w:highlight w:val="none"/>
              </w:rPr>
              <w:t>.信用绿园线上平台工程</w:t>
            </w:r>
          </w:p>
          <w:p>
            <w:pPr>
              <w:pStyle w:val="23"/>
              <w:keepNext w:val="0"/>
              <w:keepLines w:val="0"/>
              <w:pageBreakBefore w:val="0"/>
              <w:widowControl w:val="0"/>
              <w:wordWrap/>
              <w:overflowPunct/>
              <w:topLinePunct w:val="0"/>
              <w:autoSpaceDE/>
              <w:autoSpaceDN/>
              <w:bidi w:val="0"/>
              <w:spacing w:line="530" w:lineRule="exact"/>
              <w:rPr>
                <w:color w:val="auto"/>
                <w:highlight w:val="none"/>
              </w:rPr>
            </w:pPr>
            <w:r>
              <w:rPr>
                <w:color w:val="auto"/>
                <w:highlight w:val="none"/>
              </w:rPr>
              <w:t>接入职业教育培训端口，经过职业教育培训合格的人才在信用绿园平台上线，利用政府信用支撑人才就业。</w:t>
            </w:r>
          </w:p>
          <w:p>
            <w:pPr>
              <w:pStyle w:val="22"/>
              <w:keepNext w:val="0"/>
              <w:keepLines w:val="0"/>
              <w:pageBreakBefore w:val="0"/>
              <w:widowControl w:val="0"/>
              <w:wordWrap/>
              <w:overflowPunct/>
              <w:topLinePunct w:val="0"/>
              <w:autoSpaceDE/>
              <w:autoSpaceDN/>
              <w:bidi w:val="0"/>
              <w:spacing w:line="530" w:lineRule="exact"/>
              <w:rPr>
                <w:color w:val="auto"/>
                <w:highlight w:val="none"/>
              </w:rPr>
            </w:pPr>
            <w:r>
              <w:rPr>
                <w:rFonts w:ascii="Times New Roman" w:hAnsi="Times New Roman"/>
                <w:b w:val="0"/>
                <w:i w:val="0"/>
                <w:color w:val="auto"/>
                <w:highlight w:val="none"/>
              </w:rPr>
              <w:t>2</w:t>
            </w:r>
            <w:r>
              <w:rPr>
                <w:color w:val="auto"/>
                <w:highlight w:val="none"/>
              </w:rPr>
              <w:t>.绿园品牌打造工程</w:t>
            </w:r>
          </w:p>
          <w:p>
            <w:pPr>
              <w:pStyle w:val="23"/>
              <w:keepNext w:val="0"/>
              <w:keepLines w:val="0"/>
              <w:pageBreakBefore w:val="0"/>
              <w:widowControl w:val="0"/>
              <w:wordWrap/>
              <w:overflowPunct/>
              <w:topLinePunct w:val="0"/>
              <w:autoSpaceDE/>
              <w:autoSpaceDN/>
              <w:bidi w:val="0"/>
              <w:spacing w:line="530" w:lineRule="exact"/>
              <w:rPr>
                <w:color w:val="auto"/>
                <w:highlight w:val="none"/>
              </w:rPr>
            </w:pPr>
            <w:r>
              <w:rPr>
                <w:color w:val="auto"/>
                <w:highlight w:val="none"/>
              </w:rPr>
              <w:t>打造绿园本土品牌，具有绿园标志性特色。</w:t>
            </w:r>
          </w:p>
        </w:tc>
      </w:tr>
    </w:tbl>
    <w:p>
      <w:pPr>
        <w:pageBreakBefore w:val="0"/>
        <w:wordWrap/>
        <w:overflowPunct/>
        <w:autoSpaceDE/>
        <w:autoSpaceDN/>
        <w:bidi w:val="0"/>
        <w:spacing w:line="530" w:lineRule="exact"/>
        <w:rPr>
          <w:rFonts w:hint="eastAsia"/>
          <w:color w:val="auto"/>
          <w:highlight w:val="none"/>
        </w:rPr>
      </w:pPr>
    </w:p>
    <w:p>
      <w:pPr>
        <w:pStyle w:val="2"/>
        <w:pageBreakBefore w:val="0"/>
        <w:wordWrap/>
        <w:overflowPunct/>
        <w:autoSpaceDE/>
        <w:autoSpaceDN/>
        <w:bidi w:val="0"/>
        <w:spacing w:line="530" w:lineRule="exact"/>
        <w:rPr>
          <w:color w:val="auto"/>
          <w:highlight w:val="none"/>
        </w:rPr>
        <w:sectPr>
          <w:pgSz w:w="11906" w:h="16838"/>
          <w:pgMar w:top="1440" w:right="1800" w:bottom="1440" w:left="1800" w:header="720" w:footer="720" w:gutter="0"/>
          <w:pgNumType w:fmt="decimal"/>
          <w:cols w:space="425" w:num="1"/>
          <w:docGrid w:type="lines" w:linePitch="312" w:charSpace="0"/>
        </w:sectPr>
      </w:pPr>
      <w:bookmarkStart w:id="605" w:name="_Toc1527116984"/>
      <w:bookmarkStart w:id="606" w:name="_Toc1669179488"/>
      <w:bookmarkStart w:id="607" w:name="_Toc5445"/>
      <w:bookmarkStart w:id="608" w:name="_Toc477288512"/>
      <w:bookmarkStart w:id="609" w:name="_Toc1921492014"/>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610" w:name="_Toc1250707088"/>
      <w:bookmarkStart w:id="611" w:name="_Toc1857226951"/>
      <w:bookmarkStart w:id="612" w:name="_Toc361648007"/>
      <w:bookmarkStart w:id="613" w:name="_Toc1406249516"/>
      <w:bookmarkStart w:id="614" w:name="_Toc13114091"/>
      <w:r>
        <w:rPr>
          <w:rFonts w:hint="eastAsia" w:ascii="方正小标宋简体" w:hAnsi="方正小标宋简体" w:eastAsia="方正小标宋简体" w:cs="方正小标宋简体"/>
          <w:color w:val="auto"/>
          <w:highlight w:val="none"/>
        </w:rPr>
        <w:t>提升综合治理效能，更好统筹发展与安全</w:t>
      </w:r>
      <w:bookmarkEnd w:id="605"/>
      <w:bookmarkEnd w:id="606"/>
      <w:bookmarkEnd w:id="607"/>
      <w:bookmarkEnd w:id="608"/>
      <w:bookmarkEnd w:id="609"/>
      <w:bookmarkEnd w:id="610"/>
      <w:bookmarkEnd w:id="611"/>
      <w:bookmarkEnd w:id="612"/>
      <w:bookmarkEnd w:id="613"/>
      <w:bookmarkEnd w:id="614"/>
    </w:p>
    <w:p>
      <w:pPr>
        <w:pStyle w:val="19"/>
        <w:pageBreakBefore w:val="0"/>
        <w:wordWrap/>
        <w:overflowPunct/>
        <w:autoSpaceDE/>
        <w:autoSpaceDN/>
        <w:bidi w:val="0"/>
        <w:spacing w:line="530" w:lineRule="exact"/>
        <w:rPr>
          <w:rFonts w:hint="default"/>
          <w:color w:val="auto"/>
          <w:highlight w:val="none"/>
        </w:rPr>
      </w:pPr>
      <w:r>
        <w:rPr>
          <w:color w:val="auto"/>
          <w:highlight w:val="none"/>
        </w:rPr>
        <w:t>着力构建绿园区发展与安全协调并进的现代化治理体系，提高社会治理效能，深化城乡基层治理体制改革，全面推进法治政府建设，营造良好法治环境。防范化解重大风险，加强综合减灾能力建设，筑牢城市安全发展底线。</w:t>
      </w:r>
      <w:r>
        <w:rPr>
          <w:rFonts w:hint="eastAsia"/>
          <w:color w:val="auto"/>
          <w:highlight w:val="none"/>
          <w:lang w:val="en-US" w:eastAsia="zh-CN"/>
        </w:rPr>
        <w:t>提高数字化治理能力</w:t>
      </w:r>
      <w:r>
        <w:rPr>
          <w:color w:val="auto"/>
          <w:highlight w:val="none"/>
        </w:rPr>
        <w:t>，</w:t>
      </w:r>
      <w:r>
        <w:rPr>
          <w:rFonts w:hint="eastAsia"/>
          <w:color w:val="auto"/>
          <w:highlight w:val="none"/>
          <w:lang w:val="en-US" w:eastAsia="zh-CN"/>
        </w:rPr>
        <w:t>提升政府办事效能，</w:t>
      </w:r>
      <w:r>
        <w:rPr>
          <w:color w:val="auto"/>
          <w:highlight w:val="none"/>
        </w:rPr>
        <w:t>为全面建设现代化新绿园提供坚实保障。</w:t>
      </w:r>
    </w:p>
    <w:p>
      <w:pPr>
        <w:pStyle w:val="3"/>
        <w:pageBreakBefore w:val="0"/>
        <w:wordWrap/>
        <w:overflowPunct/>
        <w:autoSpaceDE/>
        <w:autoSpaceDN/>
        <w:bidi w:val="0"/>
        <w:spacing w:line="530" w:lineRule="exact"/>
        <w:rPr>
          <w:color w:val="auto"/>
          <w:highlight w:val="none"/>
        </w:rPr>
      </w:pPr>
      <w:bookmarkStart w:id="615" w:name="_Toc1064091180"/>
      <w:bookmarkStart w:id="616" w:name="_Toc1365195443"/>
      <w:bookmarkStart w:id="617" w:name="_Toc657195712"/>
      <w:bookmarkStart w:id="618" w:name="_Toc1678084791"/>
      <w:bookmarkStart w:id="619" w:name="_Toc839332639"/>
      <w:bookmarkStart w:id="620" w:name="_Toc936599639"/>
      <w:bookmarkStart w:id="621" w:name="_Toc1778080177"/>
      <w:bookmarkStart w:id="622" w:name="_Toc30386"/>
      <w:bookmarkStart w:id="623" w:name="_Toc810930908"/>
      <w:bookmarkStart w:id="624" w:name="_Toc738556312"/>
      <w:bookmarkStart w:id="625" w:name="_Toc1320774055"/>
      <w:r>
        <w:rPr>
          <w:color w:val="auto"/>
          <w:highlight w:val="none"/>
        </w:rPr>
        <w:t>提高社会治理效能</w:t>
      </w:r>
      <w:bookmarkEnd w:id="615"/>
      <w:bookmarkEnd w:id="616"/>
      <w:bookmarkEnd w:id="617"/>
      <w:bookmarkEnd w:id="618"/>
      <w:bookmarkEnd w:id="619"/>
      <w:bookmarkEnd w:id="620"/>
      <w:bookmarkEnd w:id="621"/>
      <w:bookmarkEnd w:id="622"/>
      <w:bookmarkEnd w:id="623"/>
      <w:bookmarkEnd w:id="624"/>
      <w:bookmarkEnd w:id="625"/>
    </w:p>
    <w:p>
      <w:pPr>
        <w:pStyle w:val="4"/>
        <w:pageBreakBefore w:val="0"/>
        <w:wordWrap/>
        <w:overflowPunct/>
        <w:autoSpaceDE/>
        <w:autoSpaceDN/>
        <w:bidi w:val="0"/>
        <w:spacing w:line="530" w:lineRule="exact"/>
        <w:rPr>
          <w:color w:val="auto"/>
          <w:highlight w:val="none"/>
        </w:rPr>
      </w:pPr>
      <w:bookmarkStart w:id="626" w:name="_Toc1858566993"/>
      <w:bookmarkStart w:id="627" w:name="_Toc979935063"/>
      <w:bookmarkStart w:id="628" w:name="_Toc1384546894"/>
      <w:bookmarkStart w:id="629" w:name="_Toc1958586834"/>
      <w:bookmarkStart w:id="630" w:name="_Toc1991070177"/>
      <w:r>
        <w:rPr>
          <w:color w:val="auto"/>
          <w:highlight w:val="none"/>
        </w:rPr>
        <w:t>健全城乡治理体制</w:t>
      </w:r>
      <w:bookmarkEnd w:id="626"/>
      <w:bookmarkEnd w:id="627"/>
      <w:bookmarkEnd w:id="628"/>
      <w:bookmarkEnd w:id="629"/>
      <w:bookmarkEnd w:id="630"/>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推动治理重心下移优化。</w:t>
      </w:r>
      <w:r>
        <w:rPr>
          <w:rFonts w:ascii="Times New Roman" w:hAnsi="Times New Roman" w:cs="Times New Roman"/>
          <w:color w:val="auto"/>
          <w:szCs w:val="32"/>
          <w:highlight w:val="none"/>
        </w:rPr>
        <w:t>强化基层法治建设，推动治理重心向社区（村）延伸。统筹城乡法律治理，推进公共法律服务一体化，发挥基层法律机构作用，动态匹配群众</w:t>
      </w:r>
      <w:r>
        <w:rPr>
          <w:rFonts w:hint="eastAsia" w:ascii="Times New Roman" w:hAnsi="Times New Roman" w:cs="Times New Roman"/>
          <w:color w:val="auto"/>
          <w:szCs w:val="32"/>
          <w:highlight w:val="none"/>
          <w:lang w:val="en-US" w:eastAsia="zh-CN"/>
        </w:rPr>
        <w:t>法律服务</w:t>
      </w:r>
      <w:r>
        <w:rPr>
          <w:rFonts w:ascii="Times New Roman" w:hAnsi="Times New Roman" w:cs="Times New Roman"/>
          <w:color w:val="auto"/>
          <w:szCs w:val="32"/>
          <w:highlight w:val="none"/>
        </w:rPr>
        <w:t>需求，实现精准高效服务。优化网格化管理服务，完善基层民主协商机制，强化智慧治理支撑，提升公共服务效能，构建权责清晰、运转高效、协同联动的基层治理体系。</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完善基层群众自治制度。</w:t>
      </w:r>
      <w:r>
        <w:rPr>
          <w:rFonts w:ascii="Times New Roman" w:hAnsi="Times New Roman" w:cs="Times New Roman"/>
          <w:color w:val="auto"/>
          <w:szCs w:val="32"/>
          <w:highlight w:val="none"/>
        </w:rPr>
        <w:t>健全协同机制，明晰各方权责，创新联动方式，汇聚治理合力。拓宽群众参与基层治理的渠道，健全城乡社区协商制度，围绕社区重要事项开展民主协商。着力破解城乡治理难题，增强群众自治和基层服务能力，打造共建共治共享的基层治理新格局。</w:t>
      </w:r>
    </w:p>
    <w:p>
      <w:pPr>
        <w:pStyle w:val="4"/>
        <w:pageBreakBefore w:val="0"/>
        <w:wordWrap/>
        <w:overflowPunct/>
        <w:autoSpaceDE/>
        <w:autoSpaceDN/>
        <w:bidi w:val="0"/>
        <w:spacing w:line="530" w:lineRule="exact"/>
        <w:rPr>
          <w:color w:val="auto"/>
          <w:highlight w:val="none"/>
        </w:rPr>
      </w:pPr>
      <w:bookmarkStart w:id="631" w:name="_Toc1785805736"/>
      <w:bookmarkStart w:id="632" w:name="_Toc716514998"/>
      <w:bookmarkStart w:id="633" w:name="_Toc2094332213"/>
      <w:bookmarkStart w:id="634" w:name="_Toc1826277285"/>
      <w:bookmarkStart w:id="635" w:name="_Toc1339577822"/>
      <w:r>
        <w:rPr>
          <w:color w:val="auto"/>
          <w:highlight w:val="none"/>
        </w:rPr>
        <w:t>化解基层矛盾纠纷</w:t>
      </w:r>
      <w:bookmarkEnd w:id="631"/>
      <w:bookmarkEnd w:id="632"/>
      <w:bookmarkEnd w:id="633"/>
      <w:bookmarkEnd w:id="634"/>
      <w:bookmarkEnd w:id="63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建立多元化解机制。</w:t>
      </w:r>
      <w:r>
        <w:rPr>
          <w:rFonts w:ascii="Times New Roman" w:hAnsi="Times New Roman" w:cs="Times New Roman"/>
          <w:color w:val="auto"/>
          <w:szCs w:val="32"/>
          <w:highlight w:val="none"/>
        </w:rPr>
        <w:t>坚持和发展</w:t>
      </w:r>
      <w:r>
        <w:rPr>
          <w:rFonts w:hint="eastAsia" w:ascii="Times New Roman" w:hAnsi="Times New Roman" w:cs="Times New Roman"/>
          <w:color w:val="auto"/>
          <w:szCs w:val="32"/>
          <w:highlight w:val="none"/>
          <w:lang w:val="en-US" w:eastAsia="zh-CN"/>
        </w:rPr>
        <w:t>新时代</w:t>
      </w:r>
      <w:r>
        <w:rPr>
          <w:rFonts w:ascii="Times New Roman" w:hAnsi="Times New Roman" w:cs="Times New Roman"/>
          <w:color w:val="auto"/>
          <w:szCs w:val="32"/>
          <w:highlight w:val="none"/>
        </w:rPr>
        <w:t>“枫桥经验”，推进区、镇（街）、村（社）三级综治中心建设，做优人民调解、司法调解、行政调解和行业性专业性调解联动机制，持续加强矛盾纠纷排查化解力量。推进实施矛盾纠纷逐级协同化解机制，探索完善分层处理、分级处置、分类化解以及访调、警调、诉调等跨部门协同工作机制，有序有效化解稳控矛盾风险。依托社会治理信息平台，立足预防、调解、法治、基层，</w:t>
      </w:r>
      <w:r>
        <w:rPr>
          <w:rFonts w:hint="eastAsia" w:ascii="Times New Roman" w:hAnsi="Times New Roman" w:cs="Times New Roman"/>
          <w:color w:val="auto"/>
          <w:szCs w:val="32"/>
          <w:highlight w:val="none"/>
        </w:rPr>
        <w:t>打造线上线下联动的多元矛盾纠纷调解平台</w:t>
      </w:r>
      <w:r>
        <w:rPr>
          <w:rFonts w:ascii="Times New Roman" w:hAnsi="Times New Roman" w:cs="Times New Roman"/>
          <w:color w:val="auto"/>
          <w:szCs w:val="32"/>
          <w:highlight w:val="none"/>
        </w:rPr>
        <w:t>，切实做到预防在前、调解优先、运用法治、就地解决，努力做到“小事不出村、大事不出镇、矛盾不上交”。</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全力维护社会稳定。</w:t>
      </w:r>
      <w:r>
        <w:rPr>
          <w:rFonts w:ascii="Times New Roman" w:hAnsi="Times New Roman" w:cs="Times New Roman"/>
          <w:color w:val="auto"/>
          <w:szCs w:val="32"/>
          <w:highlight w:val="none"/>
        </w:rPr>
        <w:t>深入贯彻落实《维护社会稳定责任制规定》，健全</w:t>
      </w:r>
      <w:r>
        <w:rPr>
          <w:rFonts w:hint="eastAsia" w:ascii="Times New Roman" w:hAnsi="Times New Roman" w:cs="Times New Roman"/>
          <w:color w:val="auto"/>
          <w:szCs w:val="32"/>
          <w:highlight w:val="none"/>
          <w:lang w:val="en-US" w:eastAsia="zh-CN"/>
        </w:rPr>
        <w:t>重点人群</w:t>
      </w:r>
      <w:r>
        <w:rPr>
          <w:rFonts w:ascii="Times New Roman" w:hAnsi="Times New Roman" w:cs="Times New Roman"/>
          <w:color w:val="auto"/>
          <w:szCs w:val="32"/>
          <w:highlight w:val="none"/>
        </w:rPr>
        <w:t>风险排查化解、分析研判、应急处置、防控机制，加强风险源头防控。对涉及群众切身利益的重大政策、重大项目、重大活动，开展科学系统的社会稳定风险评估。按照依法办理、舆论引导、社会面管控“三同步”要求，妥善处置重大突发事件和社会热点事件，防止风险隐患向政治安全领域传导。</w:t>
      </w:r>
    </w:p>
    <w:p>
      <w:pPr>
        <w:pStyle w:val="4"/>
        <w:pageBreakBefore w:val="0"/>
        <w:wordWrap/>
        <w:overflowPunct/>
        <w:autoSpaceDE/>
        <w:autoSpaceDN/>
        <w:bidi w:val="0"/>
        <w:spacing w:line="530" w:lineRule="exact"/>
        <w:rPr>
          <w:color w:val="auto"/>
          <w:highlight w:val="none"/>
        </w:rPr>
      </w:pPr>
      <w:bookmarkStart w:id="636" w:name="_Toc1526762657"/>
      <w:bookmarkStart w:id="637" w:name="_Toc805554480"/>
      <w:bookmarkStart w:id="638" w:name="_Toc258562424"/>
      <w:bookmarkStart w:id="639" w:name="_Toc65899206"/>
      <w:r>
        <w:rPr>
          <w:color w:val="auto"/>
          <w:highlight w:val="none"/>
        </w:rPr>
        <w:t>强化社会治安</w:t>
      </w:r>
      <w:r>
        <w:rPr>
          <w:rFonts w:hint="eastAsia"/>
          <w:color w:val="auto"/>
          <w:highlight w:val="none"/>
          <w:lang w:val="en-US" w:eastAsia="zh-CN"/>
        </w:rPr>
        <w:t>管理</w:t>
      </w:r>
      <w:bookmarkEnd w:id="636"/>
      <w:bookmarkEnd w:id="637"/>
      <w:bookmarkEnd w:id="638"/>
      <w:bookmarkEnd w:id="639"/>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完善治安</w:t>
      </w:r>
      <w:r>
        <w:rPr>
          <w:rFonts w:hint="eastAsia" w:ascii="Times New Roman" w:hAnsi="Times New Roman" w:cs="Times New Roman"/>
          <w:b/>
          <w:bCs/>
          <w:color w:val="auto"/>
          <w:kern w:val="0"/>
          <w:szCs w:val="32"/>
          <w:highlight w:val="none"/>
          <w:lang w:val="en-US" w:eastAsia="zh-CN" w:bidi="ar"/>
        </w:rPr>
        <w:t>管理</w:t>
      </w:r>
      <w:r>
        <w:rPr>
          <w:rFonts w:ascii="Times New Roman" w:hAnsi="Times New Roman" w:cs="Times New Roman"/>
          <w:b/>
          <w:bCs/>
          <w:color w:val="auto"/>
          <w:kern w:val="0"/>
          <w:szCs w:val="32"/>
          <w:highlight w:val="none"/>
          <w:lang w:bidi="ar"/>
        </w:rPr>
        <w:t>体系。</w:t>
      </w:r>
      <w:r>
        <w:rPr>
          <w:rFonts w:ascii="Times New Roman" w:hAnsi="Times New Roman" w:cs="Times New Roman"/>
          <w:color w:val="auto"/>
          <w:szCs w:val="32"/>
          <w:highlight w:val="none"/>
        </w:rPr>
        <w:t>构建“智慧警务+网格化管理”的治安</w:t>
      </w:r>
      <w:r>
        <w:rPr>
          <w:rFonts w:hint="eastAsia" w:ascii="Times New Roman" w:hAnsi="Times New Roman" w:cs="Times New Roman"/>
          <w:color w:val="auto"/>
          <w:szCs w:val="32"/>
          <w:highlight w:val="none"/>
          <w:lang w:val="en-US" w:eastAsia="zh-CN"/>
        </w:rPr>
        <w:t>管理</w:t>
      </w:r>
      <w:r>
        <w:rPr>
          <w:rFonts w:ascii="Times New Roman" w:hAnsi="Times New Roman" w:cs="Times New Roman"/>
          <w:color w:val="auto"/>
          <w:szCs w:val="32"/>
          <w:highlight w:val="none"/>
        </w:rPr>
        <w:t>新模式，实现重点区域、重点场所视频监控全覆盖。健全“民警+辅警+网格员+志愿者”联防联控机制，加强夜间巡逻和重点时段防控，提升街面见警率和管事率。</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深化重点领域整治。</w:t>
      </w:r>
      <w:r>
        <w:rPr>
          <w:rFonts w:ascii="Times New Roman" w:hAnsi="Times New Roman" w:cs="Times New Roman"/>
          <w:color w:val="auto"/>
          <w:szCs w:val="32"/>
          <w:highlight w:val="none"/>
        </w:rPr>
        <w:t>持续开展常态化扫黑除恶斗争，严厉打击电信网络诈骗、盗抢骗、黄赌毒等突出违法犯罪</w:t>
      </w:r>
      <w:r>
        <w:rPr>
          <w:rFonts w:hint="eastAsia" w:ascii="Times New Roman" w:hAnsi="Times New Roman" w:cs="Times New Roman"/>
          <w:color w:val="auto"/>
          <w:szCs w:val="32"/>
          <w:highlight w:val="none"/>
          <w:lang w:val="en-US" w:eastAsia="zh-CN"/>
        </w:rPr>
        <w:t>活动</w:t>
      </w:r>
      <w:r>
        <w:rPr>
          <w:rFonts w:ascii="Times New Roman" w:hAnsi="Times New Roman" w:cs="Times New Roman"/>
          <w:color w:val="auto"/>
          <w:szCs w:val="32"/>
          <w:highlight w:val="none"/>
        </w:rPr>
        <w:t>。强化校园、医院、商场等重点场所安全防范，建立风险隐患动态排查整治机制。加强对特殊人群的服务管理，落实重点人员管控措施。</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提升应急</w:t>
      </w:r>
      <w:r>
        <w:rPr>
          <w:rFonts w:hint="eastAsia" w:ascii="Times New Roman" w:hAnsi="Times New Roman" w:cs="Times New Roman"/>
          <w:b/>
          <w:bCs/>
          <w:color w:val="auto"/>
          <w:kern w:val="0"/>
          <w:szCs w:val="32"/>
          <w:highlight w:val="none"/>
          <w:lang w:val="en-US" w:eastAsia="zh-CN" w:bidi="ar"/>
        </w:rPr>
        <w:t>处理</w:t>
      </w:r>
      <w:r>
        <w:rPr>
          <w:rFonts w:ascii="Times New Roman" w:hAnsi="Times New Roman" w:cs="Times New Roman"/>
          <w:b/>
          <w:bCs/>
          <w:color w:val="auto"/>
          <w:kern w:val="0"/>
          <w:szCs w:val="32"/>
          <w:highlight w:val="none"/>
          <w:lang w:bidi="ar"/>
        </w:rPr>
        <w:t>能力。</w:t>
      </w:r>
      <w:r>
        <w:rPr>
          <w:rFonts w:ascii="Times New Roman" w:hAnsi="Times New Roman" w:cs="Times New Roman"/>
          <w:color w:val="auto"/>
          <w:szCs w:val="32"/>
          <w:highlight w:val="none"/>
        </w:rPr>
        <w:t>健全突发事件应急处置预案，完善“</w:t>
      </w:r>
      <w:r>
        <w:rPr>
          <w:rFonts w:ascii="Times New Roman" w:hAnsi="Times New Roman" w:cs="Times New Roman"/>
          <w:b w:val="0"/>
          <w:i w:val="0"/>
          <w:color w:val="auto"/>
          <w:szCs w:val="32"/>
          <w:highlight w:val="none"/>
        </w:rPr>
        <w:t>1</w:t>
      </w:r>
      <w:r>
        <w:rPr>
          <w:rFonts w:ascii="Times New Roman" w:hAnsi="Times New Roman" w:cs="Times New Roman"/>
          <w:color w:val="auto"/>
          <w:szCs w:val="32"/>
          <w:highlight w:val="none"/>
        </w:rPr>
        <w:t>、</w:t>
      </w:r>
      <w:r>
        <w:rPr>
          <w:rFonts w:ascii="Times New Roman" w:hAnsi="Times New Roman" w:cs="Times New Roman"/>
          <w:b w:val="0"/>
          <w:i w:val="0"/>
          <w:color w:val="auto"/>
          <w:szCs w:val="32"/>
          <w:highlight w:val="none"/>
        </w:rPr>
        <w:t>3</w:t>
      </w:r>
      <w:r>
        <w:rPr>
          <w:rFonts w:ascii="Times New Roman" w:hAnsi="Times New Roman" w:cs="Times New Roman"/>
          <w:color w:val="auto"/>
          <w:szCs w:val="32"/>
          <w:highlight w:val="none"/>
        </w:rPr>
        <w:t>、</w:t>
      </w:r>
      <w:r>
        <w:rPr>
          <w:rFonts w:ascii="Times New Roman" w:hAnsi="Times New Roman" w:cs="Times New Roman"/>
          <w:b w:val="0"/>
          <w:i w:val="0"/>
          <w:color w:val="auto"/>
          <w:szCs w:val="32"/>
          <w:highlight w:val="none"/>
        </w:rPr>
        <w:t>5</w:t>
      </w:r>
      <w:r>
        <w:rPr>
          <w:rFonts w:ascii="Times New Roman" w:hAnsi="Times New Roman" w:cs="Times New Roman"/>
          <w:color w:val="auto"/>
          <w:szCs w:val="32"/>
          <w:highlight w:val="none"/>
        </w:rPr>
        <w:t>分钟”快速反应机制。加强应急队伍建设，定期开展多部门联合演练。建立社会治安形势分析研判制度，强化风险预警和源头防控，确保社会大局和谐稳定。</w:t>
      </w:r>
    </w:p>
    <w:p>
      <w:pPr>
        <w:pStyle w:val="3"/>
        <w:pageBreakBefore w:val="0"/>
        <w:wordWrap/>
        <w:overflowPunct/>
        <w:autoSpaceDE/>
        <w:autoSpaceDN/>
        <w:bidi w:val="0"/>
        <w:spacing w:line="530" w:lineRule="exact"/>
        <w:rPr>
          <w:color w:val="auto"/>
          <w:highlight w:val="none"/>
        </w:rPr>
      </w:pPr>
      <w:bookmarkStart w:id="640" w:name="_Toc37045914"/>
      <w:bookmarkStart w:id="641" w:name="_Toc460456124"/>
      <w:bookmarkStart w:id="642" w:name="_Toc1124525953"/>
      <w:bookmarkStart w:id="643" w:name="_Toc1299242287"/>
      <w:bookmarkStart w:id="644" w:name="_Toc668346286"/>
      <w:bookmarkStart w:id="645" w:name="_Toc2084133691"/>
      <w:bookmarkStart w:id="646" w:name="_Toc17878196"/>
      <w:bookmarkStart w:id="647" w:name="_Toc23969"/>
      <w:bookmarkStart w:id="648" w:name="_Toc1217234672"/>
      <w:bookmarkStart w:id="649" w:name="_Toc1613877037"/>
      <w:bookmarkStart w:id="650" w:name="_Toc375000163"/>
      <w:r>
        <w:rPr>
          <w:color w:val="auto"/>
          <w:highlight w:val="none"/>
        </w:rPr>
        <w:t>系统建设法治绿园</w:t>
      </w:r>
      <w:bookmarkEnd w:id="640"/>
      <w:bookmarkEnd w:id="641"/>
      <w:bookmarkEnd w:id="642"/>
      <w:bookmarkEnd w:id="643"/>
      <w:bookmarkEnd w:id="644"/>
      <w:bookmarkEnd w:id="645"/>
      <w:bookmarkEnd w:id="646"/>
      <w:bookmarkEnd w:id="647"/>
      <w:bookmarkEnd w:id="648"/>
      <w:bookmarkEnd w:id="649"/>
      <w:bookmarkEnd w:id="650"/>
    </w:p>
    <w:p>
      <w:pPr>
        <w:pStyle w:val="4"/>
        <w:pageBreakBefore w:val="0"/>
        <w:wordWrap/>
        <w:overflowPunct/>
        <w:autoSpaceDE/>
        <w:autoSpaceDN/>
        <w:bidi w:val="0"/>
        <w:spacing w:line="530" w:lineRule="exact"/>
        <w:rPr>
          <w:color w:val="auto"/>
          <w:highlight w:val="none"/>
        </w:rPr>
      </w:pPr>
      <w:bookmarkStart w:id="651" w:name="_Toc751394913"/>
      <w:bookmarkStart w:id="652" w:name="_Toc1978613239"/>
      <w:bookmarkStart w:id="653" w:name="_Toc2007902615"/>
      <w:bookmarkStart w:id="654" w:name="_Toc1133910982"/>
      <w:bookmarkStart w:id="655" w:name="_Toc1712899249"/>
      <w:r>
        <w:rPr>
          <w:color w:val="auto"/>
          <w:highlight w:val="none"/>
        </w:rPr>
        <w:t>加强法治政府建设</w:t>
      </w:r>
      <w:bookmarkEnd w:id="651"/>
      <w:bookmarkEnd w:id="652"/>
      <w:bookmarkEnd w:id="653"/>
      <w:bookmarkEnd w:id="654"/>
      <w:bookmarkEnd w:id="65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提升依法行政水平。</w:t>
      </w:r>
      <w:r>
        <w:rPr>
          <w:rFonts w:ascii="Times New Roman" w:hAnsi="Times New Roman" w:cs="Times New Roman"/>
          <w:color w:val="auto"/>
          <w:szCs w:val="32"/>
          <w:highlight w:val="none"/>
        </w:rPr>
        <w:t>依法全面履行政府职能，政府行为全面纳入法治轨道。规范履行重大决策、规范性文件制发程序，建立涉企事项优先审查机制。完善行政复议工作机制，推动行政争议实质性化解，提升法治政府建设水平。</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深化行政执法改革。</w:t>
      </w:r>
      <w:r>
        <w:rPr>
          <w:rFonts w:ascii="Times New Roman" w:hAnsi="Times New Roman" w:cs="Times New Roman"/>
          <w:color w:val="auto"/>
          <w:szCs w:val="32"/>
          <w:highlight w:val="none"/>
        </w:rPr>
        <w:t>完善镇街综合执法体制机制，推行“综合执法+专业执法”模式，全面推进严格规范公正文明执法。进一步完善行政执法协调监督工作体系，规范行政裁量权基准的适用和备案制度，强化权力制约监督，落实政务公开常态化。</w:t>
      </w:r>
    </w:p>
    <w:p>
      <w:pPr>
        <w:pStyle w:val="4"/>
        <w:pageBreakBefore w:val="0"/>
        <w:wordWrap/>
        <w:overflowPunct/>
        <w:autoSpaceDE/>
        <w:autoSpaceDN/>
        <w:bidi w:val="0"/>
        <w:spacing w:line="530" w:lineRule="exact"/>
        <w:rPr>
          <w:color w:val="auto"/>
          <w:highlight w:val="none"/>
        </w:rPr>
      </w:pPr>
      <w:bookmarkStart w:id="656" w:name="_Toc1490458431"/>
      <w:bookmarkStart w:id="657" w:name="_Toc768434078"/>
      <w:bookmarkStart w:id="658" w:name="_Toc1679389908"/>
      <w:bookmarkStart w:id="659" w:name="_Toc871990996"/>
      <w:bookmarkStart w:id="660" w:name="_Toc1261221347"/>
      <w:r>
        <w:rPr>
          <w:color w:val="auto"/>
          <w:highlight w:val="none"/>
        </w:rPr>
        <w:t>深化司法体制改革</w:t>
      </w:r>
      <w:bookmarkEnd w:id="656"/>
      <w:bookmarkEnd w:id="657"/>
      <w:bookmarkEnd w:id="658"/>
      <w:bookmarkEnd w:id="659"/>
      <w:bookmarkEnd w:id="660"/>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推进司法体制改革。</w:t>
      </w:r>
      <w:r>
        <w:rPr>
          <w:rFonts w:ascii="Times New Roman" w:hAnsi="Times New Roman" w:cs="Times New Roman"/>
          <w:color w:val="auto"/>
          <w:szCs w:val="32"/>
          <w:highlight w:val="none"/>
        </w:rPr>
        <w:t>全面落实司法责任制，进一步完善权责清单。健全政法各单位内部制约监督机制，完善诉讼制度机制，强化院庭长阅核机制，加快推进审判工作现代化。利用数字赋能，加强数字法院、检察院建设，确保司法公开透明。</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完善司法监督机制。</w:t>
      </w:r>
      <w:r>
        <w:rPr>
          <w:rFonts w:ascii="Times New Roman" w:hAnsi="Times New Roman" w:cs="Times New Roman"/>
          <w:color w:val="auto"/>
          <w:szCs w:val="32"/>
          <w:highlight w:val="none"/>
        </w:rPr>
        <w:t>健全执法司法监督机制，强化对深层次实质性违法问题的监督，规范执法司法行为。加强检察机关对执法司法活动的监督，促进提升执法司法公信力。加强人大监督、民主监督、群众监督和舆论监督，确保司法活动在受监督和约束的环境下有序开展。</w:t>
      </w:r>
    </w:p>
    <w:p>
      <w:pPr>
        <w:pStyle w:val="4"/>
        <w:pageBreakBefore w:val="0"/>
        <w:wordWrap/>
        <w:overflowPunct/>
        <w:autoSpaceDE/>
        <w:autoSpaceDN/>
        <w:bidi w:val="0"/>
        <w:spacing w:line="530" w:lineRule="exact"/>
        <w:rPr>
          <w:color w:val="auto"/>
          <w:highlight w:val="none"/>
        </w:rPr>
      </w:pPr>
      <w:bookmarkStart w:id="661" w:name="_Toc1683583139"/>
      <w:bookmarkStart w:id="662" w:name="_Toc1128611235"/>
      <w:bookmarkStart w:id="663" w:name="_Toc104895888"/>
      <w:bookmarkStart w:id="664" w:name="_Toc1124262644"/>
      <w:bookmarkStart w:id="665" w:name="_Toc1885591209"/>
      <w:r>
        <w:rPr>
          <w:rFonts w:hint="eastAsia"/>
          <w:color w:val="auto"/>
          <w:highlight w:val="none"/>
          <w:lang w:val="en-US" w:eastAsia="zh-CN"/>
        </w:rPr>
        <w:t>筑牢</w:t>
      </w:r>
      <w:r>
        <w:rPr>
          <w:color w:val="auto"/>
          <w:highlight w:val="none"/>
        </w:rPr>
        <w:t>法治社会</w:t>
      </w:r>
      <w:bookmarkEnd w:id="661"/>
      <w:r>
        <w:rPr>
          <w:rFonts w:hint="eastAsia"/>
          <w:color w:val="auto"/>
          <w:highlight w:val="none"/>
          <w:lang w:val="en-US" w:eastAsia="zh-CN"/>
        </w:rPr>
        <w:t>根基</w:t>
      </w:r>
      <w:bookmarkEnd w:id="662"/>
      <w:bookmarkEnd w:id="663"/>
      <w:bookmarkEnd w:id="664"/>
      <w:bookmarkEnd w:id="665"/>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健全法律法规体系。</w:t>
      </w:r>
      <w:r>
        <w:rPr>
          <w:rFonts w:ascii="Times New Roman" w:hAnsi="Times New Roman" w:cs="Times New Roman"/>
          <w:color w:val="auto"/>
          <w:szCs w:val="32"/>
          <w:highlight w:val="none"/>
        </w:rPr>
        <w:t>加强重点领域、新兴领域的规范性文件制定</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健全公共法律服务体系，优化公共法律服务资源配置，加强基层公共法律服务站点建设，提供便捷高效的法律咨询、法律援助、公证等服务。利用信息技术，打造线上线下相结合的服务模式。深化信访工作法治化，优化法治供给，引导群众依法表达诉求、解决纠纷，营造良好法治环境。</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加强执法队伍建设。</w:t>
      </w:r>
      <w:r>
        <w:rPr>
          <w:rFonts w:ascii="Times New Roman" w:hAnsi="Times New Roman" w:cs="Times New Roman"/>
          <w:color w:val="auto"/>
          <w:szCs w:val="32"/>
          <w:highlight w:val="none"/>
        </w:rPr>
        <w:t>严格规范公正文明执法，维护法律法规权威性。强化执法队伍专业化建设，实施执法人员资格管理制度。完善执法规范化体系，细化执法自由裁量权基准，制定重点领域执法操作规范。</w:t>
      </w:r>
    </w:p>
    <w:p>
      <w:pPr>
        <w:pStyle w:val="3"/>
        <w:pageBreakBefore w:val="0"/>
        <w:wordWrap/>
        <w:overflowPunct/>
        <w:autoSpaceDE/>
        <w:autoSpaceDN/>
        <w:bidi w:val="0"/>
        <w:spacing w:line="530" w:lineRule="exact"/>
        <w:rPr>
          <w:color w:val="auto"/>
          <w:highlight w:val="none"/>
        </w:rPr>
      </w:pPr>
      <w:bookmarkStart w:id="666" w:name="_Toc1910719243"/>
      <w:bookmarkStart w:id="667" w:name="_Toc2048599076"/>
      <w:bookmarkStart w:id="668" w:name="_Toc1731827146"/>
      <w:bookmarkStart w:id="669" w:name="_Toc1502495927"/>
      <w:bookmarkStart w:id="670" w:name="_Toc373962790"/>
      <w:bookmarkStart w:id="671" w:name="_Toc429178420"/>
      <w:bookmarkStart w:id="672" w:name="_Toc1993456341"/>
      <w:bookmarkStart w:id="673" w:name="_Toc2051598471"/>
      <w:bookmarkStart w:id="674" w:name="_Toc1921131402"/>
      <w:bookmarkStart w:id="675" w:name="_Toc9186"/>
      <w:bookmarkStart w:id="676" w:name="_Toc715270884"/>
      <w:r>
        <w:rPr>
          <w:color w:val="auto"/>
          <w:highlight w:val="none"/>
        </w:rPr>
        <w:t>防范化解重大风险</w:t>
      </w:r>
      <w:bookmarkEnd w:id="666"/>
      <w:bookmarkEnd w:id="667"/>
      <w:bookmarkEnd w:id="668"/>
      <w:bookmarkEnd w:id="669"/>
      <w:bookmarkEnd w:id="670"/>
      <w:bookmarkEnd w:id="671"/>
      <w:bookmarkEnd w:id="672"/>
      <w:bookmarkEnd w:id="673"/>
      <w:bookmarkEnd w:id="674"/>
      <w:bookmarkEnd w:id="675"/>
      <w:bookmarkEnd w:id="676"/>
    </w:p>
    <w:p>
      <w:pPr>
        <w:pStyle w:val="4"/>
        <w:pageBreakBefore w:val="0"/>
        <w:wordWrap/>
        <w:overflowPunct/>
        <w:autoSpaceDE/>
        <w:autoSpaceDN/>
        <w:bidi w:val="0"/>
        <w:spacing w:line="530" w:lineRule="exact"/>
        <w:rPr>
          <w:color w:val="auto"/>
          <w:highlight w:val="none"/>
        </w:rPr>
      </w:pPr>
      <w:bookmarkStart w:id="677" w:name="_Toc199357981"/>
      <w:bookmarkStart w:id="678" w:name="_Toc2091775129"/>
      <w:bookmarkStart w:id="679" w:name="_Toc1128346340"/>
      <w:bookmarkStart w:id="680" w:name="_Toc1038840769"/>
      <w:r>
        <w:rPr>
          <w:color w:val="auto"/>
          <w:highlight w:val="none"/>
        </w:rPr>
        <w:t>完善应急救援管理</w:t>
      </w:r>
      <w:bookmarkEnd w:id="677"/>
      <w:bookmarkEnd w:id="678"/>
      <w:bookmarkEnd w:id="679"/>
      <w:bookmarkEnd w:id="680"/>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hint="eastAsia" w:ascii="Times New Roman" w:hAnsi="Times New Roman" w:cs="Times New Roman"/>
          <w:b/>
          <w:bCs/>
          <w:color w:val="auto"/>
          <w:kern w:val="0"/>
          <w:szCs w:val="32"/>
          <w:highlight w:val="none"/>
          <w:lang w:val="en-US" w:eastAsia="zh-CN" w:bidi="ar"/>
        </w:rPr>
        <w:t>优化公共安全体系</w:t>
      </w:r>
      <w:r>
        <w:rPr>
          <w:rFonts w:ascii="Times New Roman" w:hAnsi="Times New Roman" w:cs="Times New Roman"/>
          <w:b/>
          <w:bCs/>
          <w:color w:val="auto"/>
          <w:kern w:val="0"/>
          <w:szCs w:val="32"/>
          <w:highlight w:val="none"/>
          <w:lang w:bidi="ar"/>
        </w:rPr>
        <w:t>。</w:t>
      </w:r>
      <w:r>
        <w:rPr>
          <w:rFonts w:ascii="Times New Roman" w:hAnsi="Times New Roman" w:cs="Times New Roman"/>
          <w:color w:val="auto"/>
          <w:szCs w:val="32"/>
          <w:highlight w:val="none"/>
        </w:rPr>
        <w:t>构建</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全链条、全要素</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的公共安全风险防控体系，完善安全生产责任清单和隐患排查治理机制，强化危险化学品、建筑施工等重点行业领域监管。建立多部门联动的灾害监测预警系统，提升气象、地质、洪涝等自然灾害防范应对能力。</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kern w:val="0"/>
          <w:szCs w:val="32"/>
          <w:highlight w:val="none"/>
          <w:lang w:val="en-US" w:eastAsia="zh-CN" w:bidi="ar"/>
        </w:rPr>
        <w:t>构建</w:t>
      </w:r>
      <w:r>
        <w:rPr>
          <w:rFonts w:ascii="Times New Roman" w:hAnsi="Times New Roman" w:cs="Times New Roman"/>
          <w:b/>
          <w:bCs/>
          <w:color w:val="auto"/>
          <w:kern w:val="0"/>
          <w:szCs w:val="32"/>
          <w:highlight w:val="none"/>
          <w:lang w:bidi="ar"/>
        </w:rPr>
        <w:t>应急指挥</w:t>
      </w:r>
      <w:r>
        <w:rPr>
          <w:rFonts w:hint="eastAsia" w:ascii="Times New Roman" w:hAnsi="Times New Roman" w:cs="Times New Roman"/>
          <w:b/>
          <w:bCs/>
          <w:color w:val="auto"/>
          <w:kern w:val="0"/>
          <w:szCs w:val="32"/>
          <w:highlight w:val="none"/>
          <w:lang w:val="en-US" w:eastAsia="zh-CN" w:bidi="ar"/>
        </w:rPr>
        <w:t>系统</w:t>
      </w:r>
      <w:r>
        <w:rPr>
          <w:rFonts w:ascii="Times New Roman" w:hAnsi="Times New Roman" w:cs="Times New Roman"/>
          <w:b/>
          <w:bCs/>
          <w:color w:val="auto"/>
          <w:kern w:val="0"/>
          <w:szCs w:val="32"/>
          <w:highlight w:val="none"/>
          <w:lang w:bidi="ar"/>
        </w:rPr>
        <w:t>。</w:t>
      </w:r>
      <w:r>
        <w:rPr>
          <w:rFonts w:ascii="Times New Roman" w:hAnsi="Times New Roman" w:cs="Times New Roman"/>
          <w:color w:val="auto"/>
          <w:szCs w:val="32"/>
          <w:highlight w:val="none"/>
        </w:rPr>
        <w:t>优化应急体系建设，完善应急突发处置联动机制和协调处置机制。</w:t>
      </w:r>
      <w:r>
        <w:rPr>
          <w:rFonts w:hint="eastAsia" w:ascii="Times New Roman" w:hAnsi="Times New Roman" w:cs="Times New Roman"/>
          <w:color w:val="auto"/>
          <w:szCs w:val="32"/>
          <w:highlight w:val="none"/>
        </w:rPr>
        <w:t>强化安全生产源头治理措施，有效降低各类生产安全事故发生率</w:t>
      </w:r>
      <w:r>
        <w:rPr>
          <w:rFonts w:ascii="Times New Roman" w:hAnsi="Times New Roman" w:cs="Times New Roman"/>
          <w:color w:val="auto"/>
          <w:szCs w:val="32"/>
          <w:highlight w:val="none"/>
        </w:rPr>
        <w:t>。</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强化应急救援能力。</w:t>
      </w:r>
      <w:r>
        <w:rPr>
          <w:rFonts w:ascii="Times New Roman" w:hAnsi="Times New Roman" w:cs="Times New Roman"/>
          <w:color w:val="auto"/>
          <w:szCs w:val="32"/>
          <w:highlight w:val="none"/>
        </w:rPr>
        <w:t>加强综合性消防救援队伍和专业应急救援队伍建设，优化装备配置和物资储备，定期开展实战化演练。建立社会救援力量联动机制，鼓励企业、社会组织参与应急救援，形成政府主导、社会协同的救援合力。完善自然灾害、事故灾难、公共卫生等专项应急预案，细化分级响应标准和处置流程。</w:t>
      </w:r>
    </w:p>
    <w:p>
      <w:pPr>
        <w:pStyle w:val="4"/>
        <w:pageBreakBefore w:val="0"/>
        <w:wordWrap/>
        <w:overflowPunct/>
        <w:autoSpaceDE/>
        <w:autoSpaceDN/>
        <w:bidi w:val="0"/>
        <w:spacing w:line="530" w:lineRule="exact"/>
        <w:rPr>
          <w:color w:val="auto"/>
          <w:highlight w:val="none"/>
        </w:rPr>
      </w:pPr>
      <w:bookmarkStart w:id="681" w:name="_Toc496352690"/>
      <w:bookmarkStart w:id="682" w:name="_Toc9808066"/>
      <w:bookmarkStart w:id="683" w:name="_Toc754754473"/>
      <w:bookmarkStart w:id="684" w:name="_Toc535097347"/>
      <w:bookmarkStart w:id="685" w:name="_Toc1836333370"/>
      <w:r>
        <w:rPr>
          <w:color w:val="auto"/>
          <w:highlight w:val="none"/>
        </w:rPr>
        <w:t>加强综合减灾能力</w:t>
      </w:r>
      <w:bookmarkEnd w:id="681"/>
      <w:bookmarkEnd w:id="682"/>
      <w:bookmarkEnd w:id="683"/>
      <w:bookmarkEnd w:id="684"/>
      <w:bookmarkEnd w:id="685"/>
    </w:p>
    <w:p>
      <w:pPr>
        <w:pStyle w:val="19"/>
        <w:pageBreakBefore w:val="0"/>
        <w:wordWrap/>
        <w:overflowPunct/>
        <w:autoSpaceDE/>
        <w:autoSpaceDN/>
        <w:bidi w:val="0"/>
        <w:spacing w:line="530" w:lineRule="exact"/>
        <w:ind w:firstLine="643"/>
        <w:rPr>
          <w:rFonts w:hint="eastAsia" w:ascii="Times New Roman" w:hAnsi="Times New Roman" w:eastAsia="仿宋_GB2312" w:cs="Times New Roman"/>
          <w:color w:val="auto"/>
          <w:szCs w:val="32"/>
          <w:highlight w:val="none"/>
          <w:lang w:val="en-US" w:eastAsia="zh-CN"/>
        </w:rPr>
      </w:pPr>
      <w:r>
        <w:rPr>
          <w:rFonts w:ascii="Times New Roman" w:hAnsi="Times New Roman" w:cs="Times New Roman"/>
          <w:b/>
          <w:bCs/>
          <w:color w:val="auto"/>
          <w:kern w:val="0"/>
          <w:szCs w:val="32"/>
          <w:highlight w:val="none"/>
          <w:lang w:bidi="ar"/>
        </w:rPr>
        <w:t>健全灾害风险防控体系。</w:t>
      </w:r>
      <w:r>
        <w:rPr>
          <w:rFonts w:hint="eastAsia" w:ascii="Times New Roman" w:hAnsi="Times New Roman" w:cs="Times New Roman"/>
          <w:color w:val="auto"/>
          <w:szCs w:val="32"/>
          <w:highlight w:val="none"/>
          <w:lang w:val="en-US" w:eastAsia="zh-CN"/>
        </w:rPr>
        <w:t>强化灾害风险源头管控，</w:t>
      </w:r>
      <w:r>
        <w:rPr>
          <w:rFonts w:ascii="Times New Roman" w:hAnsi="Times New Roman" w:cs="Times New Roman"/>
          <w:color w:val="auto"/>
          <w:szCs w:val="32"/>
          <w:highlight w:val="none"/>
        </w:rPr>
        <w:t>开展自然灾害综合风险普查与评估</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提升工程防御能力</w:t>
      </w:r>
      <w:r>
        <w:rPr>
          <w:rFonts w:hint="default" w:ascii="Times New Roman" w:hAnsi="Times New Roman" w:cs="Times New Roman"/>
          <w:color w:val="auto"/>
          <w:szCs w:val="32"/>
          <w:highlight w:val="none"/>
        </w:rPr>
        <w:t>，推进防洪排涝、抗震加固、消防基础设施的达标建设和智能化改造</w:t>
      </w:r>
      <w:r>
        <w:rPr>
          <w:rFonts w:hint="eastAsia"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完善区、街道（镇）两级应急指挥平台，加强专业救援队伍和基层应急力量建设，定期开展实战化演练</w:t>
      </w:r>
      <w:r>
        <w:rPr>
          <w:rFonts w:hint="eastAsia" w:ascii="Times New Roman" w:hAnsi="Times New Roman" w:cs="Times New Roman"/>
          <w:color w:val="auto"/>
          <w:szCs w:val="32"/>
          <w:highlight w:val="none"/>
          <w:lang w:eastAsia="zh-CN"/>
        </w:rPr>
        <w:t>。</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强化灾害风险评估规划。</w:t>
      </w:r>
      <w:r>
        <w:rPr>
          <w:rFonts w:ascii="Times New Roman" w:hAnsi="Times New Roman" w:cs="Times New Roman"/>
          <w:color w:val="auto"/>
          <w:szCs w:val="32"/>
          <w:highlight w:val="none"/>
        </w:rPr>
        <w:t>完成绿园区风险底数调查，建立动态更新的灾害风险数据库，支撑国土空间规划和基础设施建设避灾布局。建设韧性城市与乡村，将防灾减灾纳入城乡规划，提升关键设施抗灾能力。</w:t>
      </w:r>
    </w:p>
    <w:p>
      <w:pPr>
        <w:pStyle w:val="4"/>
        <w:pageBreakBefore w:val="0"/>
        <w:wordWrap/>
        <w:overflowPunct/>
        <w:autoSpaceDE/>
        <w:autoSpaceDN/>
        <w:bidi w:val="0"/>
        <w:spacing w:line="530" w:lineRule="exact"/>
        <w:rPr>
          <w:color w:val="auto"/>
          <w:highlight w:val="none"/>
        </w:rPr>
      </w:pPr>
      <w:bookmarkStart w:id="686" w:name="_Toc1373175882"/>
      <w:bookmarkStart w:id="687" w:name="_Toc1767458553"/>
      <w:bookmarkStart w:id="688" w:name="_Toc1867081040"/>
      <w:bookmarkStart w:id="689" w:name="_Toc1635408090"/>
      <w:bookmarkStart w:id="690" w:name="_Toc2120008529"/>
      <w:r>
        <w:rPr>
          <w:color w:val="auto"/>
          <w:highlight w:val="none"/>
        </w:rPr>
        <w:t>建设监测预警体系</w:t>
      </w:r>
      <w:bookmarkEnd w:id="686"/>
      <w:bookmarkEnd w:id="687"/>
      <w:bookmarkEnd w:id="688"/>
      <w:bookmarkEnd w:id="689"/>
      <w:bookmarkEnd w:id="690"/>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完善灾害监测预警体系。</w:t>
      </w:r>
      <w:r>
        <w:rPr>
          <w:rFonts w:ascii="Times New Roman" w:hAnsi="Times New Roman" w:cs="Times New Roman"/>
          <w:color w:val="auto"/>
          <w:szCs w:val="32"/>
          <w:highlight w:val="none"/>
        </w:rPr>
        <w:t>建立绿园区灾害风险</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一张图</w:t>
      </w:r>
      <w:r>
        <w:rPr>
          <w:rFonts w:hint="eastAsia" w:ascii="仿宋_GB2312" w:hAnsi="仿宋_GB2312" w:cs="仿宋_GB2312"/>
          <w:color w:val="auto"/>
          <w:szCs w:val="40"/>
          <w:highlight w:val="none"/>
          <w:lang w:eastAsia="zh-CN"/>
        </w:rPr>
        <w:t>”</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完善气象、地质、洪涝等多灾种监测预警网络，提升灾害预报精准度</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通过多通道实现预警信息实时直达公众，重点加强农村和偏远地区覆盖。</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推进应急管理系统建设。</w:t>
      </w:r>
      <w:r>
        <w:rPr>
          <w:rFonts w:ascii="Times New Roman" w:hAnsi="Times New Roman" w:cs="Times New Roman"/>
          <w:color w:val="auto"/>
          <w:szCs w:val="32"/>
          <w:highlight w:val="none"/>
        </w:rPr>
        <w:t>利用大数据、物联网、人工智能等技术，对突发事件发展态势进行精准研判，实现监测预警信息的实时共享</w:t>
      </w:r>
      <w:r>
        <w:rPr>
          <w:rFonts w:hint="eastAsia" w:ascii="Times New Roman" w:hAnsi="Times New Roman" w:cs="Times New Roman"/>
          <w:color w:val="auto"/>
          <w:szCs w:val="32"/>
          <w:highlight w:val="none"/>
          <w:lang w:eastAsia="zh-CN"/>
        </w:rPr>
        <w:t>，筑牢风险防控第一道防线</w:t>
      </w:r>
      <w:r>
        <w:rPr>
          <w:rFonts w:ascii="Times New Roman" w:hAnsi="Times New Roman" w:cs="Times New Roman"/>
          <w:color w:val="auto"/>
          <w:szCs w:val="32"/>
          <w:highlight w:val="none"/>
        </w:rPr>
        <w:t>。</w:t>
      </w:r>
    </w:p>
    <w:p>
      <w:pPr>
        <w:pStyle w:val="3"/>
        <w:pageBreakBefore w:val="0"/>
        <w:wordWrap/>
        <w:overflowPunct/>
        <w:autoSpaceDE/>
        <w:autoSpaceDN/>
        <w:bidi w:val="0"/>
        <w:spacing w:line="530" w:lineRule="exact"/>
        <w:rPr>
          <w:color w:val="auto"/>
          <w:highlight w:val="none"/>
        </w:rPr>
      </w:pPr>
      <w:bookmarkStart w:id="691" w:name="_Toc2135343510"/>
      <w:bookmarkStart w:id="692" w:name="_Toc2082159526"/>
      <w:bookmarkStart w:id="693" w:name="_Toc1951618314"/>
      <w:bookmarkStart w:id="694" w:name="_Toc188840016"/>
      <w:bookmarkStart w:id="695" w:name="_Toc1218065865"/>
      <w:bookmarkStart w:id="696" w:name="_Toc999989316"/>
      <w:bookmarkStart w:id="697" w:name="_Toc660570677"/>
      <w:bookmarkStart w:id="698" w:name="_Toc1682094967"/>
      <w:r>
        <w:rPr>
          <w:rFonts w:hint="eastAsia"/>
          <w:color w:val="auto"/>
          <w:highlight w:val="none"/>
          <w:lang w:val="en-US" w:eastAsia="zh-CN"/>
        </w:rPr>
        <w:t>提高数字化治理能力</w:t>
      </w:r>
      <w:bookmarkEnd w:id="691"/>
      <w:bookmarkEnd w:id="692"/>
      <w:bookmarkEnd w:id="693"/>
      <w:bookmarkEnd w:id="694"/>
      <w:bookmarkEnd w:id="695"/>
      <w:bookmarkEnd w:id="696"/>
      <w:bookmarkEnd w:id="697"/>
      <w:bookmarkEnd w:id="698"/>
    </w:p>
    <w:p>
      <w:pPr>
        <w:pStyle w:val="4"/>
        <w:pageBreakBefore w:val="0"/>
        <w:wordWrap/>
        <w:overflowPunct/>
        <w:autoSpaceDE/>
        <w:autoSpaceDN/>
        <w:bidi w:val="0"/>
        <w:spacing w:line="530" w:lineRule="exact"/>
        <w:rPr>
          <w:color w:val="auto"/>
          <w:highlight w:val="none"/>
        </w:rPr>
      </w:pPr>
      <w:bookmarkStart w:id="699" w:name="_Toc613412590"/>
      <w:bookmarkStart w:id="700" w:name="_Toc1609125617"/>
      <w:bookmarkStart w:id="701" w:name="_Toc1495381261"/>
      <w:bookmarkStart w:id="702" w:name="_Toc1868396996"/>
      <w:r>
        <w:rPr>
          <w:rFonts w:hint="eastAsia"/>
          <w:color w:val="auto"/>
          <w:highlight w:val="none"/>
        </w:rPr>
        <w:t>推进数字绿园建设</w:t>
      </w:r>
      <w:bookmarkEnd w:id="699"/>
      <w:bookmarkEnd w:id="700"/>
      <w:bookmarkEnd w:id="701"/>
      <w:bookmarkEnd w:id="702"/>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ascii="Times New Roman" w:hAnsi="Times New Roman"/>
          <w:b/>
          <w:bCs/>
          <w:color w:val="auto"/>
          <w:szCs w:val="32"/>
          <w:highlight w:val="none"/>
          <w:lang w:bidi="ar"/>
        </w:rPr>
        <w:t>加快融入数据市场建设。</w:t>
      </w:r>
      <w:r>
        <w:rPr>
          <w:rFonts w:ascii="Times New Roman" w:hAnsi="Times New Roman"/>
          <w:color w:val="auto"/>
          <w:szCs w:val="32"/>
          <w:highlight w:val="none"/>
          <w:lang w:bidi="ar"/>
        </w:rPr>
        <w:t>依托全国一体化数据市场建设，加快数据基础设施建设，重点围绕交通、自然资源、卫生健康、教育等公共数据开展采集、存储、治理等相关工作，打造高质量数据集。基于公共数据工作实际情况，推动完成数据确权、定价工作，加快企业数据融入数据市场，深化数据资源开发利用。</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ascii="Times New Roman" w:hAnsi="Times New Roman"/>
          <w:b/>
          <w:bCs/>
          <w:color w:val="auto"/>
          <w:szCs w:val="32"/>
          <w:highlight w:val="none"/>
          <w:lang w:bidi="ar"/>
        </w:rPr>
        <w:t>深化关键领域场景应用。</w:t>
      </w:r>
      <w:r>
        <w:rPr>
          <w:rFonts w:ascii="Times New Roman" w:hAnsi="Times New Roman"/>
          <w:color w:val="auto"/>
          <w:szCs w:val="32"/>
          <w:highlight w:val="none"/>
          <w:lang w:bidi="ar"/>
        </w:rPr>
        <w:t>聚焦智慧农机、农业大数据等领域，推动人工智能在现代农业领域开展农业无人机、农业资源规划管理、农业生产、交易智能服务等应用。深度开发产线</w:t>
      </w:r>
      <w:r>
        <w:rPr>
          <w:rFonts w:hint="eastAsia" w:ascii="Times New Roman" w:hAnsi="Times New Roman"/>
          <w:color w:val="auto"/>
          <w:szCs w:val="32"/>
          <w:highlight w:val="none"/>
          <w:lang w:val="en-US" w:eastAsia="zh-CN" w:bidi="ar"/>
        </w:rPr>
        <w:t>的</w:t>
      </w:r>
      <w:r>
        <w:rPr>
          <w:rFonts w:ascii="Times New Roman" w:hAnsi="Times New Roman"/>
          <w:color w:val="auto"/>
          <w:szCs w:val="32"/>
          <w:highlight w:val="none"/>
          <w:lang w:bidi="ar"/>
        </w:rPr>
        <w:t>人机智能协同、智能调度、安全监控、预测性维护、智能质检、能耗优化等装备制造领域生产服务场景，提升生产效率和产品质量。推动人工智能在材料设计、优化和性能预测等多个环节开展应用，提升人工智能对新材料产业的赋能带动能力。</w:t>
      </w:r>
    </w:p>
    <w:p>
      <w:pPr>
        <w:pStyle w:val="19"/>
        <w:pageBreakBefore w:val="0"/>
        <w:wordWrap/>
        <w:overflowPunct/>
        <w:autoSpaceDE/>
        <w:autoSpaceDN/>
        <w:bidi w:val="0"/>
        <w:spacing w:line="530" w:lineRule="exact"/>
        <w:ind w:firstLine="643"/>
        <w:rPr>
          <w:rFonts w:hint="default" w:ascii="Times New Roman" w:hAnsi="Times New Roman"/>
          <w:color w:val="auto"/>
          <w:szCs w:val="32"/>
          <w:highlight w:val="none"/>
          <w:lang w:bidi="ar"/>
        </w:rPr>
      </w:pPr>
      <w:r>
        <w:rPr>
          <w:rFonts w:ascii="Times New Roman" w:hAnsi="Times New Roman"/>
          <w:b/>
          <w:bCs/>
          <w:color w:val="auto"/>
          <w:szCs w:val="32"/>
          <w:highlight w:val="none"/>
          <w:lang w:bidi="ar"/>
        </w:rPr>
        <w:t>强化数字治理能力。</w:t>
      </w:r>
      <w:r>
        <w:rPr>
          <w:rFonts w:ascii="Times New Roman" w:hAnsi="Times New Roman"/>
          <w:color w:val="auto"/>
          <w:szCs w:val="32"/>
          <w:highlight w:val="none"/>
          <w:lang w:bidi="ar"/>
        </w:rPr>
        <w:t>以长春城市智能体为支撑，深度开发“数智+”应用场景，建设智慧养老、智慧医疗、智慧就业等智慧化场景。推进精准数字社会治理，探索基层一体化智慧治理体系，完善城市应急体系，推进智慧生态治理体系建设。健全数字化政务系统，全维度整合汇聚政务服务办事渠道，打造事项全覆盖、办事高效率、服务有温度的政务服务新范式。深化数据资源共享开放，制定跨层级数据共享开放标准，健全共享开放调度机制，优先推动应急、信用、交通、医疗卫生等公共数据分级分领域</w:t>
      </w:r>
      <w:r>
        <w:rPr>
          <w:rFonts w:hint="eastAsia" w:ascii="Times New Roman" w:hAnsi="Times New Roman"/>
          <w:color w:val="auto"/>
          <w:szCs w:val="32"/>
          <w:highlight w:val="none"/>
          <w:lang w:eastAsia="zh-CN" w:bidi="ar"/>
        </w:rPr>
        <w:t>推进</w:t>
      </w:r>
      <w:r>
        <w:rPr>
          <w:rFonts w:ascii="Times New Roman" w:hAnsi="Times New Roman"/>
          <w:color w:val="auto"/>
          <w:szCs w:val="32"/>
          <w:highlight w:val="none"/>
          <w:lang w:bidi="ar"/>
        </w:rPr>
        <w:t>，以开放公共服务产品为切入点，推进向公众免费开放数据集。</w:t>
      </w:r>
    </w:p>
    <w:p>
      <w:pPr>
        <w:pStyle w:val="4"/>
        <w:pageBreakBefore w:val="0"/>
        <w:wordWrap/>
        <w:overflowPunct/>
        <w:autoSpaceDE/>
        <w:autoSpaceDN/>
        <w:bidi w:val="0"/>
        <w:spacing w:line="530" w:lineRule="exact"/>
        <w:rPr>
          <w:color w:val="auto"/>
          <w:highlight w:val="none"/>
        </w:rPr>
      </w:pPr>
      <w:bookmarkStart w:id="703" w:name="_Toc1312678248"/>
      <w:bookmarkStart w:id="704" w:name="_Toc1642425338"/>
      <w:bookmarkStart w:id="705" w:name="_Toc1703894530"/>
      <w:bookmarkStart w:id="706" w:name="_Toc871732786"/>
      <w:r>
        <w:rPr>
          <w:rFonts w:hint="eastAsia"/>
          <w:color w:val="auto"/>
          <w:highlight w:val="none"/>
          <w:lang w:val="en-US" w:eastAsia="zh-CN"/>
        </w:rPr>
        <w:t>深化数字政府服务</w:t>
      </w:r>
      <w:bookmarkEnd w:id="703"/>
      <w:bookmarkEnd w:id="704"/>
      <w:bookmarkEnd w:id="705"/>
      <w:bookmarkEnd w:id="706"/>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b/>
          <w:bCs/>
          <w:color w:val="auto"/>
          <w:szCs w:val="32"/>
          <w:highlight w:val="none"/>
          <w:lang w:bidi="ar"/>
        </w:rPr>
        <w:t>数字政务提质增效</w:t>
      </w:r>
      <w:r>
        <w:rPr>
          <w:rFonts w:hint="eastAsia" w:ascii="Times New Roman" w:hAnsi="Times New Roman"/>
          <w:b/>
          <w:bCs/>
          <w:color w:val="auto"/>
          <w:szCs w:val="32"/>
          <w:highlight w:val="none"/>
          <w:lang w:eastAsia="zh-CN" w:bidi="ar"/>
        </w:rPr>
        <w:t>。</w:t>
      </w:r>
      <w:r>
        <w:rPr>
          <w:rFonts w:ascii="Times New Roman" w:hAnsi="Times New Roman" w:cs="Times New Roman"/>
          <w:color w:val="auto"/>
          <w:szCs w:val="32"/>
          <w:highlight w:val="none"/>
        </w:rPr>
        <w:t>全面升级全区一体化在线政务服务平台，深化大数据、人工智能等技术应用，推动政务服务向主动化、精准化、智慧化转型。通过技术赋能，优化服务流程，提升办事效率。</w:t>
      </w:r>
    </w:p>
    <w:p>
      <w:pPr>
        <w:pStyle w:val="19"/>
        <w:pageBreakBefore w:val="0"/>
        <w:wordWrap/>
        <w:overflowPunct/>
        <w:autoSpaceDE/>
        <w:autoSpaceDN/>
        <w:bidi w:val="0"/>
        <w:spacing w:line="530" w:lineRule="exact"/>
        <w:ind w:firstLine="643"/>
        <w:rPr>
          <w:rFonts w:ascii="Times New Roman" w:hAnsi="Times New Roman" w:cs="Times New Roman"/>
          <w:color w:val="auto"/>
          <w:szCs w:val="32"/>
          <w:highlight w:val="none"/>
        </w:rPr>
      </w:pPr>
      <w:r>
        <w:rPr>
          <w:rFonts w:ascii="Times New Roman" w:hAnsi="Times New Roman"/>
          <w:b/>
          <w:bCs/>
          <w:color w:val="auto"/>
          <w:szCs w:val="32"/>
          <w:highlight w:val="none"/>
          <w:lang w:bidi="ar"/>
        </w:rPr>
        <w:t>城市</w:t>
      </w:r>
      <w:r>
        <w:rPr>
          <w:rFonts w:hint="eastAsia" w:ascii="Times New Roman" w:hAnsi="Times New Roman"/>
          <w:b/>
          <w:bCs/>
          <w:color w:val="auto"/>
          <w:szCs w:val="32"/>
          <w:highlight w:val="none"/>
          <w:lang w:val="en-US" w:eastAsia="zh-CN" w:bidi="ar"/>
        </w:rPr>
        <w:t>管理</w:t>
      </w:r>
      <w:r>
        <w:rPr>
          <w:rFonts w:ascii="Times New Roman" w:hAnsi="Times New Roman"/>
          <w:b/>
          <w:bCs/>
          <w:color w:val="auto"/>
          <w:szCs w:val="32"/>
          <w:highlight w:val="none"/>
          <w:lang w:bidi="ar"/>
        </w:rPr>
        <w:t>智慧协同</w:t>
      </w:r>
      <w:r>
        <w:rPr>
          <w:rFonts w:hint="eastAsia" w:ascii="Times New Roman" w:hAnsi="Times New Roman"/>
          <w:b/>
          <w:bCs/>
          <w:color w:val="auto"/>
          <w:szCs w:val="32"/>
          <w:highlight w:val="none"/>
          <w:lang w:eastAsia="zh-CN" w:bidi="ar"/>
        </w:rPr>
        <w:t>。</w:t>
      </w:r>
      <w:r>
        <w:rPr>
          <w:rFonts w:ascii="Times New Roman" w:hAnsi="Times New Roman" w:cs="Times New Roman"/>
          <w:color w:val="auto"/>
          <w:szCs w:val="32"/>
          <w:highlight w:val="none"/>
        </w:rPr>
        <w:t>推进关键业务场景“一网统管”，打破数据壁垒，整合城市管理、公共安全、应急指挥、交通管理等领域信息系统，构建城市运行智能监测与联动处置体系。建设“城市安全大脑”，实现重点区域智能监控全覆盖，深化物联网感知设备在消防、燃气等领域的应用，提升城市</w:t>
      </w:r>
      <w:r>
        <w:rPr>
          <w:rFonts w:hint="eastAsia" w:ascii="Times New Roman" w:hAnsi="Times New Roman" w:cs="Times New Roman"/>
          <w:color w:val="auto"/>
          <w:szCs w:val="32"/>
          <w:highlight w:val="none"/>
          <w:lang w:val="en-US" w:eastAsia="zh-CN"/>
        </w:rPr>
        <w:t>智慧管理</w:t>
      </w:r>
      <w:r>
        <w:rPr>
          <w:rFonts w:ascii="Times New Roman" w:hAnsi="Times New Roman" w:cs="Times New Roman"/>
          <w:color w:val="auto"/>
          <w:szCs w:val="32"/>
          <w:highlight w:val="none"/>
        </w:rPr>
        <w:t>能力。</w:t>
      </w:r>
    </w:p>
    <w:p>
      <w:pPr>
        <w:pStyle w:val="19"/>
        <w:pageBreakBefore w:val="0"/>
        <w:wordWrap/>
        <w:overflowPunct/>
        <w:autoSpaceDE/>
        <w:autoSpaceDN/>
        <w:bidi w:val="0"/>
        <w:spacing w:line="530" w:lineRule="exact"/>
        <w:ind w:left="0" w:leftChars="0" w:firstLine="0" w:firstLineChars="0"/>
        <w:rPr>
          <w:color w:val="auto"/>
          <w:highlight w:val="none"/>
        </w:rPr>
        <w:sectPr>
          <w:pgSz w:w="11906" w:h="16838"/>
          <w:pgMar w:top="1440" w:right="1800" w:bottom="1440" w:left="1800" w:header="851" w:footer="992" w:gutter="0"/>
          <w:pgNumType w:fmt="decimal"/>
          <w:cols w:space="425" w:num="1"/>
          <w:docGrid w:type="lines" w:linePitch="312" w:charSpace="0"/>
        </w:sectPr>
      </w:pPr>
      <w:bookmarkStart w:id="707" w:name="_Toc660932965"/>
      <w:bookmarkStart w:id="708" w:name="_Toc2119147553"/>
      <w:bookmarkStart w:id="709" w:name="_Toc1655460408"/>
      <w:bookmarkStart w:id="710" w:name="_Toc1083808505"/>
    </w:p>
    <w:p>
      <w:pPr>
        <w:pStyle w:val="2"/>
        <w:pageBreakBefore w:val="0"/>
        <w:wordWrap/>
        <w:overflowPunct/>
        <w:autoSpaceDE/>
        <w:autoSpaceDN/>
        <w:bidi w:val="0"/>
        <w:spacing w:line="530" w:lineRule="exact"/>
        <w:rPr>
          <w:rFonts w:hint="eastAsia" w:ascii="方正小标宋简体" w:hAnsi="方正小标宋简体" w:eastAsia="方正小标宋简体" w:cs="方正小标宋简体"/>
          <w:color w:val="auto"/>
          <w:highlight w:val="none"/>
        </w:rPr>
      </w:pPr>
      <w:bookmarkStart w:id="711" w:name="_Toc1079494468"/>
      <w:bookmarkStart w:id="712" w:name="_Toc71386204"/>
      <w:bookmarkStart w:id="713" w:name="_Toc2000802293"/>
      <w:bookmarkStart w:id="714" w:name="_Toc183779120"/>
      <w:bookmarkStart w:id="715" w:name="_Toc487857228"/>
      <w:r>
        <w:rPr>
          <w:rFonts w:hint="eastAsia" w:ascii="方正小标宋简体" w:hAnsi="方正小标宋简体" w:eastAsia="方正小标宋简体" w:cs="方正小标宋简体"/>
          <w:color w:val="auto"/>
          <w:highlight w:val="none"/>
        </w:rPr>
        <w:t>强化规划实施保障，凝聚现代化新绿园建设强大合力</w:t>
      </w:r>
      <w:bookmarkEnd w:id="707"/>
      <w:bookmarkEnd w:id="708"/>
      <w:bookmarkEnd w:id="709"/>
      <w:bookmarkEnd w:id="710"/>
      <w:bookmarkEnd w:id="711"/>
      <w:bookmarkEnd w:id="712"/>
      <w:bookmarkEnd w:id="713"/>
      <w:bookmarkEnd w:id="714"/>
      <w:bookmarkEnd w:id="715"/>
    </w:p>
    <w:p>
      <w:pPr>
        <w:pStyle w:val="19"/>
        <w:pageBreakBefore w:val="0"/>
        <w:wordWrap/>
        <w:overflowPunct/>
        <w:autoSpaceDE/>
        <w:autoSpaceDN/>
        <w:bidi w:val="0"/>
        <w:spacing w:line="530" w:lineRule="exact"/>
        <w:rPr>
          <w:rFonts w:hint="default"/>
          <w:color w:val="auto"/>
          <w:highlight w:val="none"/>
        </w:rPr>
      </w:pPr>
      <w:r>
        <w:rPr>
          <w:color w:val="auto"/>
          <w:highlight w:val="none"/>
        </w:rPr>
        <w:t>系统构建规划实施保障体系，为绿园区建设提供强大支撑。加强党的全面领导，强化民主政治建设，凝聚社会各界智慧力量。聚力要素保障支撑，夯实高质量发展基础。健全规划实施机制，</w:t>
      </w:r>
      <w:r>
        <w:rPr>
          <w:rFonts w:hint="eastAsia"/>
          <w:color w:val="auto"/>
          <w:highlight w:val="none"/>
          <w:lang w:val="en-US" w:eastAsia="zh-CN"/>
        </w:rPr>
        <w:t>完善监督评估体系</w:t>
      </w:r>
      <w:r>
        <w:rPr>
          <w:rFonts w:hint="eastAsia"/>
          <w:color w:val="auto"/>
          <w:highlight w:val="none"/>
          <w:lang w:eastAsia="zh-CN"/>
        </w:rPr>
        <w:t>，</w:t>
      </w:r>
      <w:r>
        <w:rPr>
          <w:color w:val="auto"/>
          <w:highlight w:val="none"/>
        </w:rPr>
        <w:t>确保各项目标任务高质量完成。</w:t>
      </w:r>
    </w:p>
    <w:p>
      <w:pPr>
        <w:pStyle w:val="3"/>
        <w:pageBreakBefore w:val="0"/>
        <w:wordWrap/>
        <w:overflowPunct/>
        <w:autoSpaceDE/>
        <w:autoSpaceDN/>
        <w:bidi w:val="0"/>
        <w:spacing w:line="530" w:lineRule="exact"/>
        <w:rPr>
          <w:color w:val="auto"/>
          <w:highlight w:val="none"/>
        </w:rPr>
      </w:pPr>
      <w:bookmarkStart w:id="716" w:name="_Toc37710078"/>
      <w:bookmarkStart w:id="717" w:name="_Toc496637776"/>
      <w:bookmarkStart w:id="718" w:name="_Toc323866750"/>
      <w:bookmarkStart w:id="719" w:name="_Toc18375"/>
      <w:bookmarkStart w:id="720" w:name="_Toc524946724"/>
      <w:bookmarkStart w:id="721" w:name="_Toc613249681"/>
      <w:bookmarkStart w:id="722" w:name="_Toc694185454"/>
      <w:bookmarkStart w:id="723" w:name="_Toc1121673820"/>
      <w:bookmarkStart w:id="724" w:name="_Toc1514920471"/>
      <w:bookmarkStart w:id="725" w:name="_Toc536487472"/>
      <w:bookmarkStart w:id="726" w:name="_Toc1492055602"/>
      <w:r>
        <w:rPr>
          <w:color w:val="auto"/>
          <w:highlight w:val="none"/>
        </w:rPr>
        <w:t>加强党的全面领导</w:t>
      </w:r>
      <w:bookmarkEnd w:id="716"/>
      <w:bookmarkEnd w:id="717"/>
      <w:bookmarkEnd w:id="718"/>
      <w:bookmarkEnd w:id="719"/>
      <w:bookmarkEnd w:id="720"/>
      <w:bookmarkEnd w:id="721"/>
      <w:bookmarkEnd w:id="722"/>
      <w:bookmarkEnd w:id="723"/>
      <w:bookmarkEnd w:id="724"/>
      <w:bookmarkEnd w:id="725"/>
      <w:bookmarkEnd w:id="726"/>
    </w:p>
    <w:p>
      <w:pPr>
        <w:pStyle w:val="4"/>
        <w:pageBreakBefore w:val="0"/>
        <w:wordWrap/>
        <w:overflowPunct/>
        <w:autoSpaceDE/>
        <w:autoSpaceDN/>
        <w:bidi w:val="0"/>
        <w:spacing w:line="530" w:lineRule="exact"/>
        <w:rPr>
          <w:color w:val="auto"/>
          <w:highlight w:val="none"/>
        </w:rPr>
      </w:pPr>
      <w:bookmarkStart w:id="727" w:name="_Toc1360439374"/>
      <w:bookmarkStart w:id="728" w:name="_Toc702237265"/>
      <w:bookmarkStart w:id="729" w:name="_Toc1608591798"/>
      <w:bookmarkStart w:id="730" w:name="_Toc1504905752"/>
      <w:bookmarkStart w:id="731" w:name="_Toc1113366614"/>
      <w:r>
        <w:rPr>
          <w:color w:val="auto"/>
          <w:highlight w:val="none"/>
        </w:rPr>
        <w:t>健全党委领导体制</w:t>
      </w:r>
      <w:bookmarkEnd w:id="727"/>
      <w:bookmarkEnd w:id="728"/>
      <w:bookmarkEnd w:id="729"/>
      <w:bookmarkEnd w:id="730"/>
      <w:bookmarkEnd w:id="731"/>
    </w:p>
    <w:p>
      <w:pPr>
        <w:pStyle w:val="19"/>
        <w:pageBreakBefore w:val="0"/>
        <w:wordWrap/>
        <w:overflowPunct/>
        <w:autoSpaceDE/>
        <w:autoSpaceDN/>
        <w:bidi w:val="0"/>
        <w:spacing w:line="530" w:lineRule="exact"/>
        <w:ind w:firstLine="643"/>
        <w:rPr>
          <w:rFonts w:hint="default" w:ascii="Times New Roman" w:hAnsi="Times New Roman" w:cs="Times New Roman"/>
          <w:b/>
          <w:bCs/>
          <w:color w:val="auto"/>
          <w:kern w:val="0"/>
          <w:szCs w:val="32"/>
          <w:highlight w:val="none"/>
          <w:lang w:bidi="ar"/>
        </w:rPr>
      </w:pPr>
      <w:r>
        <w:rPr>
          <w:rFonts w:ascii="Times New Roman" w:hAnsi="Times New Roman" w:cs="Times New Roman"/>
          <w:b/>
          <w:bCs/>
          <w:color w:val="auto"/>
          <w:kern w:val="0"/>
          <w:szCs w:val="32"/>
          <w:highlight w:val="none"/>
          <w:lang w:bidi="ar"/>
        </w:rPr>
        <w:t>健全贯彻落实机制。</w:t>
      </w:r>
      <w:r>
        <w:rPr>
          <w:rFonts w:ascii="Times New Roman" w:hAnsi="Times New Roman" w:cs="Times New Roman"/>
          <w:color w:val="auto"/>
          <w:szCs w:val="32"/>
          <w:highlight w:val="none"/>
        </w:rPr>
        <w:t>建立对中央重大决策部署的快速响应、任务分解、督查督办、考核问责闭环管理体系。确保上级有要求，党委有部署，基层见行动，结果有反馈，切实将“两个维护”体现在实际行动和发展成效上。</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强化统筹领导作用。</w:t>
      </w:r>
      <w:r>
        <w:rPr>
          <w:rFonts w:ascii="Times New Roman" w:hAnsi="Times New Roman" w:cs="Times New Roman"/>
          <w:color w:val="auto"/>
          <w:szCs w:val="32"/>
          <w:highlight w:val="none"/>
        </w:rPr>
        <w:t>完善党委对重大工作的领导机制，健全重大事项决策制度，确保省市决策部署落地见效。建立重点工作党委牵头、部门协同的推进机制，强化对经济社会发展重大事项的把关定向。优化党委议事协调机构设置，提升决策科学化、民主化水平。</w:t>
      </w:r>
    </w:p>
    <w:p>
      <w:pPr>
        <w:pStyle w:val="4"/>
        <w:pageBreakBefore w:val="0"/>
        <w:wordWrap/>
        <w:overflowPunct/>
        <w:autoSpaceDE/>
        <w:autoSpaceDN/>
        <w:bidi w:val="0"/>
        <w:spacing w:line="530" w:lineRule="exact"/>
        <w:rPr>
          <w:color w:val="auto"/>
          <w:highlight w:val="none"/>
        </w:rPr>
      </w:pPr>
      <w:bookmarkStart w:id="732" w:name="_Toc930716903"/>
      <w:bookmarkStart w:id="733" w:name="_Toc2079072590"/>
      <w:bookmarkStart w:id="734" w:name="_Toc1327665187"/>
      <w:bookmarkStart w:id="735" w:name="_Toc646169209"/>
      <w:bookmarkStart w:id="736" w:name="_Toc2036063145"/>
      <w:r>
        <w:rPr>
          <w:color w:val="auto"/>
          <w:highlight w:val="none"/>
        </w:rPr>
        <w:t>强化</w:t>
      </w:r>
      <w:r>
        <w:rPr>
          <w:rFonts w:hint="eastAsia"/>
          <w:color w:val="auto"/>
          <w:highlight w:val="none"/>
          <w:lang w:eastAsia="zh-CN"/>
        </w:rPr>
        <w:t>全面从严治党</w:t>
      </w:r>
      <w:bookmarkEnd w:id="732"/>
      <w:r>
        <w:rPr>
          <w:color w:val="auto"/>
          <w:highlight w:val="none"/>
        </w:rPr>
        <w:t>机制</w:t>
      </w:r>
      <w:bookmarkEnd w:id="733"/>
      <w:bookmarkEnd w:id="734"/>
      <w:bookmarkEnd w:id="735"/>
      <w:bookmarkEnd w:id="736"/>
    </w:p>
    <w:p>
      <w:pPr>
        <w:pStyle w:val="19"/>
        <w:pageBreakBefore w:val="0"/>
        <w:wordWrap/>
        <w:overflowPunct/>
        <w:autoSpaceDE/>
        <w:autoSpaceDN/>
        <w:bidi w:val="0"/>
        <w:spacing w:line="530" w:lineRule="exact"/>
        <w:ind w:firstLine="643"/>
        <w:rPr>
          <w:rFonts w:hint="default" w:ascii="Times New Roman" w:hAnsi="Times New Roman" w:cs="Times New Roman"/>
          <w:b/>
          <w:bCs/>
          <w:color w:val="auto"/>
          <w:kern w:val="0"/>
          <w:szCs w:val="32"/>
          <w:highlight w:val="none"/>
          <w:lang w:bidi="ar"/>
        </w:rPr>
      </w:pPr>
      <w:r>
        <w:rPr>
          <w:rFonts w:ascii="Times New Roman" w:hAnsi="Times New Roman" w:cs="Times New Roman"/>
          <w:b/>
          <w:bCs/>
          <w:color w:val="auto"/>
          <w:kern w:val="0"/>
          <w:szCs w:val="32"/>
          <w:highlight w:val="none"/>
          <w:lang w:bidi="ar"/>
        </w:rPr>
        <w:t>深化政治监督部署。</w:t>
      </w:r>
      <w:r>
        <w:rPr>
          <w:rFonts w:hint="eastAsia" w:ascii="Times New Roman" w:hAnsi="Times New Roman" w:cs="Times New Roman"/>
          <w:b w:val="0"/>
          <w:bCs w:val="0"/>
          <w:color w:val="auto"/>
          <w:kern w:val="0"/>
          <w:szCs w:val="32"/>
          <w:highlight w:val="none"/>
          <w:lang w:val="en-US" w:eastAsia="zh-CN" w:bidi="ar"/>
        </w:rPr>
        <w:t>从实际出发，健全整治形式主义为基层减负长效机制，坚决纠治形式主义、官僚主义，通过“应减之负”履行“应尽之责”，持续为基层减负赋能。</w:t>
      </w:r>
      <w:r>
        <w:rPr>
          <w:rFonts w:ascii="Times New Roman" w:hAnsi="Times New Roman" w:cs="Times New Roman"/>
          <w:color w:val="auto"/>
          <w:szCs w:val="32"/>
          <w:highlight w:val="none"/>
        </w:rPr>
        <w:t>持续推进政治监督具体化、精准化、常态化。落实党中央各项决策部署，推动高质量发展、促进区域协调发展、保障和改善民生等重点任务的执行。</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加强纪律作风建设。</w:t>
      </w:r>
      <w:r>
        <w:rPr>
          <w:rFonts w:ascii="Times New Roman" w:hAnsi="Times New Roman" w:cs="Times New Roman"/>
          <w:color w:val="auto"/>
          <w:szCs w:val="32"/>
          <w:highlight w:val="none"/>
        </w:rPr>
        <w:t>保持惩治腐败的高压态势，对重点领域的腐败问题深挖彻查，推进正风反腐，大力树立新风正气，营造风清气正的政治生态。</w:t>
      </w:r>
    </w:p>
    <w:p>
      <w:pPr>
        <w:pStyle w:val="4"/>
        <w:pageBreakBefore w:val="0"/>
        <w:wordWrap/>
        <w:overflowPunct/>
        <w:autoSpaceDE/>
        <w:autoSpaceDN/>
        <w:bidi w:val="0"/>
        <w:spacing w:line="530" w:lineRule="exact"/>
        <w:rPr>
          <w:color w:val="auto"/>
          <w:highlight w:val="none"/>
        </w:rPr>
      </w:pPr>
      <w:bookmarkStart w:id="737" w:name="_Toc1713705579"/>
      <w:bookmarkStart w:id="738" w:name="_Toc341092784"/>
      <w:bookmarkStart w:id="739" w:name="_Toc1266599793"/>
      <w:bookmarkStart w:id="740" w:name="_Toc2108846717"/>
      <w:r>
        <w:rPr>
          <w:color w:val="auto"/>
          <w:highlight w:val="none"/>
        </w:rPr>
        <w:t>织密建强组织体系</w:t>
      </w:r>
      <w:bookmarkEnd w:id="737"/>
      <w:bookmarkEnd w:id="738"/>
      <w:bookmarkEnd w:id="739"/>
      <w:bookmarkEnd w:id="740"/>
    </w:p>
    <w:p>
      <w:pPr>
        <w:pStyle w:val="19"/>
        <w:pageBreakBefore w:val="0"/>
        <w:wordWrap/>
        <w:overflowPunct/>
        <w:autoSpaceDE/>
        <w:autoSpaceDN/>
        <w:bidi w:val="0"/>
        <w:spacing w:line="530" w:lineRule="exact"/>
        <w:ind w:firstLine="643"/>
        <w:rPr>
          <w:rFonts w:hint="eastAsia" w:ascii="仿宋" w:hAnsi="仿宋" w:eastAsia="仿宋" w:cs="仿宋"/>
          <w:color w:val="auto"/>
          <w:szCs w:val="32"/>
          <w:highlight w:val="none"/>
        </w:rPr>
      </w:pPr>
      <w:r>
        <w:rPr>
          <w:rFonts w:hint="default" w:ascii="Times New Roman" w:hAnsi="Times New Roman" w:cs="Times New Roman"/>
          <w:b/>
          <w:bCs/>
          <w:color w:val="auto"/>
          <w:kern w:val="0"/>
          <w:szCs w:val="32"/>
          <w:highlight w:val="none"/>
          <w:lang w:bidi="ar"/>
        </w:rPr>
        <w:t>提升基层党建</w:t>
      </w:r>
      <w:r>
        <w:rPr>
          <w:rFonts w:ascii="Times New Roman" w:hAnsi="Times New Roman" w:cs="Times New Roman"/>
          <w:b/>
          <w:bCs/>
          <w:color w:val="auto"/>
          <w:kern w:val="0"/>
          <w:szCs w:val="32"/>
          <w:highlight w:val="none"/>
          <w:lang w:bidi="ar"/>
        </w:rPr>
        <w:t>质量。</w:t>
      </w:r>
      <w:r>
        <w:rPr>
          <w:rFonts w:hint="eastAsia" w:ascii="仿宋" w:hAnsi="仿宋" w:eastAsia="仿宋" w:cs="仿宋"/>
          <w:color w:val="auto"/>
          <w:szCs w:val="32"/>
          <w:highlight w:val="none"/>
        </w:rPr>
        <w:t>深化书记领题、竞技提能、述职评议工作机制，健全明责、压责、问责制度链条。</w:t>
      </w:r>
      <w:r>
        <w:rPr>
          <w:rFonts w:hint="eastAsia" w:ascii="仿宋" w:hAnsi="仿宋" w:eastAsia="仿宋" w:cs="仿宋"/>
          <w:color w:val="auto"/>
          <w:szCs w:val="32"/>
          <w:highlight w:val="none"/>
          <w:lang w:val="en-US" w:eastAsia="zh-CN"/>
        </w:rPr>
        <w:t>提升</w:t>
      </w:r>
      <w:r>
        <w:rPr>
          <w:rFonts w:hint="eastAsia" w:ascii="仿宋" w:hAnsi="仿宋" w:eastAsia="仿宋" w:cs="仿宋"/>
          <w:color w:val="auto"/>
          <w:szCs w:val="32"/>
          <w:highlight w:val="none"/>
        </w:rPr>
        <w:t>党组织建设标准化质量，规范组建、调整、撤销程序，实现高质量覆盖、高效能运行。以队伍年轻化、阵地现代化、经费规范化、载体智能化“四化”为目标，改进要素保障。聚力提升“绿园红谱”党建品牌层次，</w:t>
      </w:r>
      <w:r>
        <w:rPr>
          <w:rFonts w:hint="eastAsia" w:ascii="仿宋" w:hAnsi="仿宋" w:eastAsia="仿宋" w:cs="仿宋"/>
          <w:color w:val="auto"/>
          <w:sz w:val="32"/>
          <w:szCs w:val="32"/>
          <w:highlight w:val="none"/>
          <w:lang w:eastAsia="zh-CN"/>
        </w:rPr>
        <w:t>深化“西城社创汇”载体影响，</w:t>
      </w:r>
      <w:r>
        <w:rPr>
          <w:rFonts w:hint="eastAsia" w:ascii="仿宋" w:hAnsi="仿宋" w:eastAsia="仿宋" w:cs="仿宋"/>
          <w:color w:val="auto"/>
          <w:szCs w:val="32"/>
          <w:highlight w:val="none"/>
        </w:rPr>
        <w:t>纵向建设街道（镇）、社区（村）、小区（屯）三级组织引领集群，横向全面推动机关、教育、卫健等领域党建品牌做精做优。立足绿园区区位优势，大力推动开发区、村社、机关、“两新”组织等多方深度共建，做强融合式党建模式，实体运行区镇、村庄、物业“三级治理共同体”，提升“新五社联动”工作质效，通过吸纳社区合作组织、建设社区服务综合体、运行社区基金、创办社区社会企业、培树社区文化，形成强大发展合力。探索建立党员作用发挥机制，引导党员在各领域发挥先锋模范作用。</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default" w:ascii="Times New Roman" w:hAnsi="Times New Roman" w:cs="Times New Roman"/>
          <w:b/>
          <w:bCs/>
          <w:color w:val="auto"/>
          <w:kern w:val="0"/>
          <w:szCs w:val="32"/>
          <w:highlight w:val="none"/>
          <w:lang w:bidi="ar"/>
        </w:rPr>
        <w:t>加强干部队伍建设</w:t>
      </w:r>
      <w:r>
        <w:rPr>
          <w:rFonts w:ascii="Times New Roman" w:hAnsi="Times New Roman" w:cs="Times New Roman"/>
          <w:b/>
          <w:bCs/>
          <w:color w:val="auto"/>
          <w:kern w:val="0"/>
          <w:szCs w:val="32"/>
          <w:highlight w:val="none"/>
          <w:lang w:bidi="ar"/>
        </w:rPr>
        <w:t>。</w:t>
      </w:r>
      <w:r>
        <w:rPr>
          <w:rFonts w:ascii="Times New Roman" w:hAnsi="Times New Roman" w:cs="Times New Roman"/>
          <w:color w:val="auto"/>
          <w:szCs w:val="32"/>
          <w:highlight w:val="none"/>
        </w:rPr>
        <w:t>坚决树立重实干、重实绩的正确用人导向，以用人导向引领干事创业导向、改革发展导向。构建“选育管用”紧密衔接工作链条，建设高素质、专业化、年轻化干部队伍，为区域发展提供充足干部保障。持续加大优秀年轻干部、专业型干部使用力度，不断改善区管干部队伍结构。突出人岗相适，科学调控班子配备，补强区管班子功能短板。构建立体化干部培养教育体系，针对性增强区管干部推动发展能力本领。完善制度机制，全面考察掌握干部“八小时内外”作风表现，加强区管干部经常性监督和全方位管理，</w:t>
      </w:r>
      <w:r>
        <w:rPr>
          <w:rFonts w:hint="default" w:ascii="Times New Roman" w:hAnsi="Times New Roman" w:cs="Times New Roman"/>
          <w:color w:val="auto"/>
          <w:szCs w:val="32"/>
          <w:highlight w:val="none"/>
        </w:rPr>
        <w:t>推进领导干部能上能下常态化</w:t>
      </w:r>
      <w:r>
        <w:rPr>
          <w:rFonts w:ascii="Times New Roman" w:hAnsi="Times New Roman" w:cs="Times New Roman"/>
          <w:color w:val="auto"/>
          <w:szCs w:val="32"/>
          <w:highlight w:val="none"/>
        </w:rPr>
        <w:t>，着力</w:t>
      </w:r>
      <w:r>
        <w:rPr>
          <w:rFonts w:hint="default" w:ascii="Times New Roman" w:hAnsi="Times New Roman" w:cs="Times New Roman"/>
          <w:color w:val="auto"/>
          <w:szCs w:val="32"/>
          <w:highlight w:val="none"/>
        </w:rPr>
        <w:t>建设堪当发展重任的高素质干部队伍。</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hint="eastAsia" w:ascii="Times New Roman" w:hAnsi="Times New Roman" w:cs="Times New Roman"/>
          <w:b/>
          <w:bCs/>
          <w:color w:val="auto"/>
          <w:kern w:val="0"/>
          <w:szCs w:val="32"/>
          <w:highlight w:val="none"/>
          <w:lang w:val="en-US" w:eastAsia="zh-CN" w:bidi="ar"/>
        </w:rPr>
        <w:t>筑牢青年工作根基。</w:t>
      </w:r>
      <w:r>
        <w:rPr>
          <w:rFonts w:ascii="Times New Roman" w:hAnsi="Times New Roman" w:cs="Times New Roman"/>
          <w:color w:val="auto"/>
          <w:szCs w:val="32"/>
          <w:highlight w:val="none"/>
        </w:rPr>
        <w:t>团员队伍建设扎实推进，严格发展程序，持续强化思想政治引领，广泛开展主题教育，加强团干部队伍能力和作风建设。组织动员青年在科技创新、乡村振兴、志愿服务等一线担当作为。</w:t>
      </w:r>
    </w:p>
    <w:p>
      <w:pPr>
        <w:pStyle w:val="3"/>
        <w:pageBreakBefore w:val="0"/>
        <w:wordWrap/>
        <w:overflowPunct/>
        <w:autoSpaceDE/>
        <w:autoSpaceDN/>
        <w:bidi w:val="0"/>
        <w:spacing w:line="530" w:lineRule="exact"/>
        <w:rPr>
          <w:color w:val="auto"/>
          <w:highlight w:val="none"/>
        </w:rPr>
      </w:pPr>
      <w:bookmarkStart w:id="741" w:name="_Toc2043754874"/>
      <w:bookmarkStart w:id="742" w:name="_Toc1884811887"/>
      <w:bookmarkStart w:id="743" w:name="_Toc811956795"/>
      <w:bookmarkStart w:id="744" w:name="_Toc288103973"/>
      <w:bookmarkStart w:id="745" w:name="_Toc198992689"/>
      <w:bookmarkStart w:id="746" w:name="_Toc1869648990"/>
      <w:bookmarkStart w:id="747" w:name="_Toc8607"/>
      <w:bookmarkStart w:id="748" w:name="_Toc285605081"/>
      <w:bookmarkStart w:id="749" w:name="_Toc916768392"/>
      <w:bookmarkStart w:id="750" w:name="_Toc1316662531"/>
      <w:bookmarkStart w:id="751" w:name="_Toc1112566845"/>
      <w:r>
        <w:rPr>
          <w:color w:val="auto"/>
          <w:highlight w:val="none"/>
        </w:rPr>
        <w:t>强化民主政治建设</w:t>
      </w:r>
      <w:bookmarkEnd w:id="741"/>
      <w:bookmarkEnd w:id="742"/>
      <w:bookmarkEnd w:id="743"/>
      <w:bookmarkEnd w:id="744"/>
      <w:bookmarkEnd w:id="745"/>
      <w:bookmarkEnd w:id="746"/>
      <w:bookmarkEnd w:id="747"/>
      <w:bookmarkEnd w:id="748"/>
      <w:bookmarkEnd w:id="749"/>
      <w:bookmarkEnd w:id="750"/>
      <w:bookmarkEnd w:id="751"/>
    </w:p>
    <w:p>
      <w:pPr>
        <w:pStyle w:val="4"/>
        <w:pageBreakBefore w:val="0"/>
        <w:wordWrap/>
        <w:overflowPunct/>
        <w:autoSpaceDE/>
        <w:autoSpaceDN/>
        <w:bidi w:val="0"/>
        <w:spacing w:line="530" w:lineRule="exact"/>
        <w:rPr>
          <w:color w:val="auto"/>
          <w:highlight w:val="none"/>
        </w:rPr>
      </w:pPr>
      <w:bookmarkStart w:id="752" w:name="_Toc770849486"/>
      <w:bookmarkStart w:id="753" w:name="_Toc502107912"/>
      <w:bookmarkStart w:id="754" w:name="_Toc1735333873"/>
      <w:bookmarkStart w:id="755" w:name="_Toc1475659829"/>
      <w:bookmarkStart w:id="756" w:name="_Toc838085644"/>
      <w:r>
        <w:rPr>
          <w:color w:val="auto"/>
          <w:highlight w:val="none"/>
        </w:rPr>
        <w:t>支持人大依法履职</w:t>
      </w:r>
      <w:bookmarkEnd w:id="752"/>
      <w:bookmarkEnd w:id="753"/>
      <w:bookmarkEnd w:id="754"/>
      <w:bookmarkEnd w:id="755"/>
      <w:bookmarkEnd w:id="756"/>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强化人大监督职能。</w:t>
      </w:r>
      <w:r>
        <w:rPr>
          <w:rFonts w:ascii="Times New Roman" w:hAnsi="Times New Roman" w:cs="Times New Roman"/>
          <w:color w:val="auto"/>
          <w:szCs w:val="32"/>
          <w:highlight w:val="none"/>
        </w:rPr>
        <w:t>建立重大事项决定权行使程序，对绿园区重大规划、重点项目等依法作出决议决定，定期开展专项工作评议和执法检查。健全人大代表建议办理考核评价机制，提高建议办理质量和落实成效。</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发挥代表主体作用。</w:t>
      </w:r>
      <w:r>
        <w:rPr>
          <w:rFonts w:ascii="Times New Roman" w:hAnsi="Times New Roman" w:cs="Times New Roman"/>
          <w:color w:val="auto"/>
          <w:szCs w:val="32"/>
          <w:highlight w:val="none"/>
        </w:rPr>
        <w:t>优化代表履职平台建设，畅通民意表达渠道，推动代表议案建议高质量办理。在监督、决策等各环节扩大人民有序政治参与，夯实基层人大工作</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完善人大协商、听证、公开制度，增强透明度。</w:t>
      </w:r>
    </w:p>
    <w:p>
      <w:pPr>
        <w:pStyle w:val="4"/>
        <w:pageBreakBefore w:val="0"/>
        <w:wordWrap/>
        <w:overflowPunct/>
        <w:autoSpaceDE/>
        <w:autoSpaceDN/>
        <w:bidi w:val="0"/>
        <w:spacing w:line="530" w:lineRule="exact"/>
        <w:rPr>
          <w:color w:val="auto"/>
          <w:highlight w:val="none"/>
        </w:rPr>
      </w:pPr>
      <w:bookmarkStart w:id="757" w:name="_Toc360178035"/>
      <w:bookmarkStart w:id="758" w:name="_Toc126106800"/>
      <w:bookmarkStart w:id="759" w:name="_Toc780993604"/>
      <w:bookmarkStart w:id="760" w:name="_Toc2045952498"/>
      <w:bookmarkStart w:id="761" w:name="_Toc1464427921"/>
      <w:r>
        <w:rPr>
          <w:color w:val="auto"/>
          <w:highlight w:val="none"/>
        </w:rPr>
        <w:t>完善协商民主制度</w:t>
      </w:r>
      <w:bookmarkEnd w:id="757"/>
      <w:bookmarkEnd w:id="758"/>
      <w:bookmarkEnd w:id="759"/>
      <w:bookmarkEnd w:id="760"/>
      <w:bookmarkEnd w:id="761"/>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健全协商民主工作机制。</w:t>
      </w:r>
      <w:r>
        <w:rPr>
          <w:rFonts w:ascii="Times New Roman" w:hAnsi="Times New Roman" w:cs="Times New Roman"/>
          <w:color w:val="auto"/>
          <w:szCs w:val="32"/>
          <w:highlight w:val="none"/>
        </w:rPr>
        <w:t>完善政协协商与党委、政府工作衔接机制，将政协协商纳入决策程序。建立“协商议题征集—调查研究—协商议政—成果转化”全链条工作流程。</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推动社会组织协商流程。</w:t>
      </w:r>
      <w:r>
        <w:rPr>
          <w:rFonts w:ascii="Times New Roman" w:hAnsi="Times New Roman" w:cs="Times New Roman"/>
          <w:color w:val="auto"/>
          <w:szCs w:val="32"/>
          <w:highlight w:val="none"/>
        </w:rPr>
        <w:t>发挥人民团体作用，支持工会、共青团、妇联等组织参与协商，反映群体诉求。鼓励社会组织协商，引导行业协会、智库等有序参与公共政策制定。</w:t>
      </w:r>
    </w:p>
    <w:p>
      <w:pPr>
        <w:pStyle w:val="4"/>
        <w:pageBreakBefore w:val="0"/>
        <w:wordWrap/>
        <w:overflowPunct/>
        <w:autoSpaceDE/>
        <w:autoSpaceDN/>
        <w:bidi w:val="0"/>
        <w:spacing w:line="530" w:lineRule="exact"/>
        <w:rPr>
          <w:color w:val="auto"/>
          <w:highlight w:val="none"/>
        </w:rPr>
      </w:pPr>
      <w:bookmarkStart w:id="762" w:name="_Toc1903316999"/>
      <w:bookmarkStart w:id="763" w:name="_Toc329989980"/>
      <w:bookmarkStart w:id="764" w:name="_Toc2058111658"/>
      <w:bookmarkStart w:id="765" w:name="_Toc815478122"/>
      <w:bookmarkStart w:id="766" w:name="_Toc739451964"/>
      <w:r>
        <w:rPr>
          <w:color w:val="auto"/>
          <w:highlight w:val="none"/>
        </w:rPr>
        <w:t>凝聚统战工作力量</w:t>
      </w:r>
      <w:bookmarkEnd w:id="762"/>
      <w:bookmarkEnd w:id="763"/>
      <w:bookmarkEnd w:id="764"/>
      <w:bookmarkEnd w:id="765"/>
      <w:bookmarkEnd w:id="766"/>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强化思想政治引领。</w:t>
      </w:r>
      <w:r>
        <w:rPr>
          <w:rFonts w:hint="eastAsia" w:ascii="Times New Roman" w:hAnsi="Times New Roman" w:cs="Times New Roman"/>
          <w:color w:val="auto"/>
          <w:szCs w:val="32"/>
          <w:highlight w:val="none"/>
        </w:rPr>
        <w:t>引导民主党派、无党派人士、民族宗教界人士、新的社会阶层人士等统一战线成员持续开展主题教育、实践研学，深刻认识基本国情和发展大局，自觉将个人事业、企业发展与国家前途、区域发展紧密结合，不断增强对中国共产党和中国特色社会主义的政治认同、思想认同、理论认同、情感认同，夯实团结合作的共同思想政治基础。</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完善大统战工作格局。</w:t>
      </w:r>
      <w:r>
        <w:rPr>
          <w:rFonts w:hint="eastAsia" w:ascii="Times New Roman" w:hAnsi="Times New Roman" w:cs="Times New Roman"/>
          <w:color w:val="auto"/>
          <w:szCs w:val="32"/>
          <w:highlight w:val="none"/>
        </w:rPr>
        <w:t>深化“绿美同心工程”</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引导“同心发展智库”专家建言资政，发挥统战成员优势</w:t>
      </w:r>
      <w:r>
        <w:rPr>
          <w:rFonts w:hint="eastAsia" w:cs="Times New Roman"/>
          <w:color w:val="auto"/>
          <w:szCs w:val="32"/>
          <w:highlight w:val="none"/>
          <w:lang w:eastAsia="zh-CN"/>
        </w:rPr>
        <w:t>，</w:t>
      </w:r>
      <w:r>
        <w:rPr>
          <w:rFonts w:hint="eastAsia" w:ascii="Times New Roman" w:hAnsi="Times New Roman" w:cs="Times New Roman"/>
          <w:color w:val="auto"/>
          <w:szCs w:val="32"/>
          <w:highlight w:val="none"/>
        </w:rPr>
        <w:t>助力经济发展与基层治理，加强党外代表人士队伍建设，引导台联、侨联、欧美同学会发挥组织作用，做好港澳台和海外统战工作。以铸牢中华民族共同体意识为主线</w:t>
      </w:r>
      <w:r>
        <w:rPr>
          <w:rFonts w:hint="eastAsia" w:cs="Times New Roman"/>
          <w:color w:val="auto"/>
          <w:szCs w:val="32"/>
          <w:highlight w:val="none"/>
          <w:lang w:eastAsia="zh-CN"/>
        </w:rPr>
        <w:t>，</w:t>
      </w:r>
      <w:r>
        <w:rPr>
          <w:rFonts w:hint="eastAsia" w:ascii="Times New Roman" w:hAnsi="Times New Roman" w:cs="Times New Roman"/>
          <w:color w:val="auto"/>
          <w:szCs w:val="32"/>
          <w:highlight w:val="none"/>
        </w:rPr>
        <w:t>推进民族团结进步创建，聚焦我国宗教中国化方向强化宗教事务依法治理，确保民族宗教领域和谐稳定。</w:t>
      </w:r>
    </w:p>
    <w:p>
      <w:pPr>
        <w:pStyle w:val="4"/>
        <w:pageBreakBefore w:val="0"/>
        <w:wordWrap/>
        <w:overflowPunct/>
        <w:autoSpaceDE/>
        <w:autoSpaceDN/>
        <w:bidi w:val="0"/>
        <w:spacing w:line="530" w:lineRule="exact"/>
        <w:rPr>
          <w:color w:val="auto"/>
          <w:highlight w:val="none"/>
        </w:rPr>
      </w:pPr>
      <w:bookmarkStart w:id="767" w:name="_Toc132396481"/>
      <w:bookmarkStart w:id="768" w:name="_Toc1163533777"/>
      <w:bookmarkStart w:id="769" w:name="_Toc1338817306"/>
      <w:bookmarkStart w:id="770" w:name="_Toc481293759"/>
      <w:bookmarkStart w:id="771" w:name="_Toc500161300"/>
      <w:r>
        <w:rPr>
          <w:color w:val="auto"/>
          <w:highlight w:val="none"/>
        </w:rPr>
        <w:t>加强基层民主建设</w:t>
      </w:r>
      <w:bookmarkEnd w:id="767"/>
      <w:bookmarkEnd w:id="768"/>
      <w:bookmarkEnd w:id="769"/>
      <w:bookmarkEnd w:id="770"/>
      <w:bookmarkEnd w:id="771"/>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完善基层群众治理格局。</w:t>
      </w:r>
      <w:r>
        <w:rPr>
          <w:rFonts w:ascii="Times New Roman" w:hAnsi="Times New Roman" w:cs="Times New Roman"/>
          <w:color w:val="auto"/>
          <w:szCs w:val="32"/>
          <w:highlight w:val="none"/>
        </w:rPr>
        <w:t>拓宽民主参与渠道，提升基层治理的科学性、透明度和包容性，构建“共建共治共享”的基层社会治理格局。</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健全基层自治组织体系。</w:t>
      </w:r>
      <w:r>
        <w:rPr>
          <w:rFonts w:ascii="Times New Roman" w:hAnsi="Times New Roman" w:cs="Times New Roman"/>
          <w:color w:val="auto"/>
          <w:szCs w:val="32"/>
          <w:highlight w:val="none"/>
        </w:rPr>
        <w:t>明确基层自治组织权责清单，减少行政事务负担，强化其自治和服务功能。强化民主监督与公开，强化问责机制，建立基层干部履职负面清单。推进基层民主法治示范创建，支持群众参加法治学习和基层公共事务决策。</w:t>
      </w:r>
    </w:p>
    <w:p>
      <w:pPr>
        <w:pStyle w:val="3"/>
        <w:pageBreakBefore w:val="0"/>
        <w:wordWrap/>
        <w:overflowPunct/>
        <w:autoSpaceDE/>
        <w:autoSpaceDN/>
        <w:bidi w:val="0"/>
        <w:spacing w:line="530" w:lineRule="exact"/>
        <w:rPr>
          <w:color w:val="auto"/>
          <w:highlight w:val="none"/>
        </w:rPr>
      </w:pPr>
      <w:bookmarkStart w:id="772" w:name="_Toc959974742"/>
      <w:bookmarkStart w:id="773" w:name="_Toc526100457"/>
      <w:bookmarkStart w:id="774" w:name="_Toc6574"/>
      <w:bookmarkStart w:id="775" w:name="_Toc394597875"/>
      <w:bookmarkStart w:id="776" w:name="_Toc1446760527"/>
      <w:bookmarkStart w:id="777" w:name="_Toc538645322"/>
      <w:bookmarkStart w:id="778" w:name="_Toc387233553"/>
      <w:bookmarkStart w:id="779" w:name="_Toc1123664766"/>
      <w:bookmarkStart w:id="780" w:name="_Toc1209852026"/>
      <w:bookmarkStart w:id="781" w:name="_Toc786297608"/>
      <w:bookmarkStart w:id="782" w:name="_Toc168808676"/>
      <w:r>
        <w:rPr>
          <w:color w:val="auto"/>
          <w:highlight w:val="none"/>
        </w:rPr>
        <w:t>健全规划实施机制</w:t>
      </w:r>
      <w:bookmarkEnd w:id="772"/>
      <w:bookmarkEnd w:id="773"/>
      <w:bookmarkEnd w:id="774"/>
      <w:bookmarkEnd w:id="775"/>
      <w:bookmarkEnd w:id="776"/>
      <w:bookmarkEnd w:id="777"/>
      <w:bookmarkEnd w:id="778"/>
      <w:bookmarkEnd w:id="779"/>
      <w:bookmarkEnd w:id="780"/>
      <w:bookmarkEnd w:id="781"/>
      <w:bookmarkEnd w:id="782"/>
    </w:p>
    <w:p>
      <w:pPr>
        <w:pStyle w:val="4"/>
        <w:pageBreakBefore w:val="0"/>
        <w:wordWrap/>
        <w:overflowPunct/>
        <w:autoSpaceDE/>
        <w:autoSpaceDN/>
        <w:bidi w:val="0"/>
        <w:spacing w:line="530" w:lineRule="exact"/>
        <w:rPr>
          <w:color w:val="auto"/>
          <w:highlight w:val="none"/>
        </w:rPr>
      </w:pPr>
      <w:bookmarkStart w:id="783" w:name="_Toc576983189"/>
      <w:bookmarkStart w:id="784" w:name="_Toc980206100"/>
      <w:bookmarkStart w:id="785" w:name="_Toc341519845"/>
      <w:bookmarkStart w:id="786" w:name="_Toc250848883"/>
      <w:bookmarkStart w:id="787" w:name="_Toc1837017665"/>
      <w:r>
        <w:rPr>
          <w:color w:val="auto"/>
          <w:highlight w:val="none"/>
        </w:rPr>
        <w:t>明确规划实施职责</w:t>
      </w:r>
      <w:bookmarkEnd w:id="783"/>
      <w:bookmarkEnd w:id="784"/>
      <w:bookmarkEnd w:id="785"/>
      <w:bookmarkEnd w:id="786"/>
      <w:bookmarkEnd w:id="787"/>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强化规划的引领作用。</w:t>
      </w:r>
      <w:r>
        <w:rPr>
          <w:rFonts w:ascii="Times New Roman" w:hAnsi="Times New Roman" w:cs="Times New Roman"/>
          <w:color w:val="auto"/>
          <w:szCs w:val="32"/>
          <w:highlight w:val="none"/>
        </w:rPr>
        <w:t>依据规划有序推进绿园区重大项目的组织实施，加快编制重点领域专项规划，明确各领域的发展目标、重点任务和政策措施，确保规划纲要目标顺利实现。</w:t>
      </w:r>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完善规划实施机制。</w:t>
      </w:r>
      <w:r>
        <w:rPr>
          <w:rFonts w:ascii="Times New Roman" w:hAnsi="Times New Roman" w:cs="Times New Roman"/>
          <w:color w:val="auto"/>
          <w:szCs w:val="32"/>
          <w:highlight w:val="none"/>
        </w:rPr>
        <w:t>建立目录清单、编制备案、衔接协调等规划管理制度，建立“十五五”绿园区重点规划的目录清单。探索推进规划统一备案，力求将各类规划纳入统一管理。</w:t>
      </w:r>
    </w:p>
    <w:p>
      <w:pPr>
        <w:pStyle w:val="4"/>
        <w:pageBreakBefore w:val="0"/>
        <w:wordWrap/>
        <w:overflowPunct/>
        <w:autoSpaceDE/>
        <w:autoSpaceDN/>
        <w:bidi w:val="0"/>
        <w:spacing w:line="530" w:lineRule="exact"/>
        <w:rPr>
          <w:color w:val="auto"/>
          <w:highlight w:val="none"/>
        </w:rPr>
      </w:pPr>
      <w:bookmarkStart w:id="788" w:name="_Toc383502736"/>
      <w:bookmarkStart w:id="789" w:name="_Toc976866563"/>
      <w:bookmarkStart w:id="790" w:name="_Toc1467791318"/>
      <w:bookmarkStart w:id="791" w:name="_Toc1847730131"/>
      <w:bookmarkStart w:id="792" w:name="_Toc506777520"/>
      <w:r>
        <w:rPr>
          <w:color w:val="auto"/>
          <w:highlight w:val="none"/>
        </w:rPr>
        <w:t>完善监督评估机制</w:t>
      </w:r>
      <w:bookmarkEnd w:id="788"/>
      <w:bookmarkEnd w:id="789"/>
      <w:bookmarkEnd w:id="790"/>
      <w:bookmarkEnd w:id="791"/>
      <w:bookmarkEnd w:id="792"/>
    </w:p>
    <w:p>
      <w:pPr>
        <w:pStyle w:val="19"/>
        <w:pageBreakBefore w:val="0"/>
        <w:wordWrap/>
        <w:overflowPunct/>
        <w:autoSpaceDE/>
        <w:autoSpaceDN/>
        <w:bidi w:val="0"/>
        <w:spacing w:line="530" w:lineRule="exact"/>
        <w:ind w:firstLine="643"/>
        <w:rPr>
          <w:rFonts w:hint="default" w:ascii="Times New Roman" w:hAnsi="Times New Roman" w:cs="Times New Roman"/>
          <w:color w:val="auto"/>
          <w:szCs w:val="32"/>
          <w:highlight w:val="none"/>
        </w:rPr>
      </w:pPr>
      <w:r>
        <w:rPr>
          <w:rFonts w:ascii="Times New Roman" w:hAnsi="Times New Roman" w:cs="Times New Roman"/>
          <w:b/>
          <w:bCs/>
          <w:color w:val="auto"/>
          <w:kern w:val="0"/>
          <w:szCs w:val="32"/>
          <w:highlight w:val="none"/>
          <w:lang w:bidi="ar"/>
        </w:rPr>
        <w:t>建立动态监测体系。</w:t>
      </w:r>
      <w:r>
        <w:rPr>
          <w:rFonts w:ascii="Times New Roman" w:hAnsi="Times New Roman" w:cs="Times New Roman"/>
          <w:color w:val="auto"/>
          <w:szCs w:val="32"/>
          <w:highlight w:val="none"/>
        </w:rPr>
        <w:t>建立规划执行的动态监测信息系统，跟踪关键指标和重大项目的进展，及时掌握规划实施情况，为监督评估提供数据支持。</w:t>
      </w:r>
    </w:p>
    <w:p>
      <w:pPr>
        <w:pStyle w:val="19"/>
        <w:pageBreakBefore w:val="0"/>
        <w:wordWrap/>
        <w:overflowPunct/>
        <w:autoSpaceDE/>
        <w:autoSpaceDN/>
        <w:bidi w:val="0"/>
        <w:spacing w:line="530" w:lineRule="exact"/>
        <w:rPr>
          <w:rFonts w:hint="eastAsia" w:ascii="Times New Roman" w:hAnsi="Times New Roman" w:cs="Times New Roman"/>
          <w:color w:val="auto"/>
          <w:szCs w:val="32"/>
          <w:highlight w:val="none"/>
          <w:lang w:eastAsia="zh-CN"/>
        </w:rPr>
      </w:pPr>
      <w:r>
        <w:rPr>
          <w:rFonts w:hint="eastAsia" w:ascii="Times New Roman" w:hAnsi="Times New Roman" w:cs="Times New Roman"/>
          <w:b/>
          <w:bCs/>
          <w:color w:val="auto"/>
          <w:kern w:val="0"/>
          <w:szCs w:val="32"/>
          <w:highlight w:val="none"/>
          <w:lang w:eastAsia="zh-CN" w:bidi="ar"/>
        </w:rPr>
        <w:t>定期开展规划评估。</w:t>
      </w:r>
      <w:r>
        <w:rPr>
          <w:rFonts w:hint="eastAsia" w:ascii="Times New Roman" w:hAnsi="Times New Roman" w:cs="Times New Roman"/>
          <w:color w:val="auto"/>
          <w:szCs w:val="32"/>
          <w:highlight w:val="none"/>
          <w:lang w:eastAsia="zh-CN"/>
        </w:rPr>
        <w:t>全面总结执行成效与不足，针对性提出改进措施。强化发展规划对政策制定的指引作用，探索建立政策与规划符合性评价机制，确保政府战略部署前后衔接、落地生根，推动规划目标高质量实现。</w:t>
      </w:r>
    </w:p>
    <w:p>
      <w:pPr>
        <w:pStyle w:val="19"/>
        <w:pageBreakBefore w:val="0"/>
        <w:wordWrap/>
        <w:overflowPunct/>
        <w:autoSpaceDE/>
        <w:autoSpaceDN/>
        <w:bidi w:val="0"/>
        <w:spacing w:line="530" w:lineRule="exact"/>
        <w:rPr>
          <w:rFonts w:hint="default" w:ascii="Times New Roman" w:hAnsi="Times New Roman" w:cs="Times New Roman"/>
          <w:color w:val="auto"/>
          <w:szCs w:val="32"/>
          <w:highlight w:val="none"/>
          <w:lang w:val="en-US" w:eastAsia="zh-CN"/>
        </w:rPr>
      </w:pPr>
    </w:p>
    <w:sectPr>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Arial Bold">
    <w:altName w:val="Times New Roman"/>
    <w:panose1 w:val="020B0604020202020204"/>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UI">
    <w:altName w:val="Latha"/>
    <w:panose1 w:val="020B0502040204020203"/>
    <w:charset w:val="00"/>
    <w:family w:val="auto"/>
    <w:pitch w:val="default"/>
    <w:sig w:usb0="00000000" w:usb1="00000000" w:usb2="00000029" w:usb3="00000000" w:csb0="200001DF" w:csb1="20000000"/>
  </w:font>
  <w:font w:name="DejaVu Sans">
    <w:panose1 w:val="020B0603030804020204"/>
    <w:charset w:val="00"/>
    <w:family w:val="auto"/>
    <w:pitch w:val="default"/>
    <w:sig w:usb0="E7006EFF" w:usb1="D200FDFF" w:usb2="0A246029" w:usb3="0400200C" w:csb0="600001FF" w:csb1="DFFF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BCB73"/>
    <w:multiLevelType w:val="multilevel"/>
    <w:tmpl w:val="DAEBCB73"/>
    <w:lvl w:ilvl="0" w:tentative="0">
      <w:start w:val="1"/>
      <w:numFmt w:val="chineseCounting"/>
      <w:pStyle w:val="2"/>
      <w:suff w:val="space"/>
      <w:lvlText w:val="第%1篇"/>
      <w:lvlJc w:val="center"/>
      <w:pPr>
        <w:tabs>
          <w:tab w:val="left" w:pos="0"/>
        </w:tabs>
        <w:ind w:left="0" w:firstLine="0"/>
      </w:pPr>
      <w:rPr>
        <w:rFonts w:hint="eastAsia" w:ascii="方正小标宋简体" w:hAnsi="方正小标宋简体" w:eastAsia="方正小标宋简体" w:cs="方正小标宋简体"/>
        <w:b w:val="0"/>
        <w:bCs/>
        <w:sz w:val="44"/>
      </w:rPr>
    </w:lvl>
    <w:lvl w:ilvl="1" w:tentative="0">
      <w:start w:val="1"/>
      <w:numFmt w:val="chineseCounting"/>
      <w:pStyle w:val="3"/>
      <w:suff w:val="space"/>
      <w:lvlText w:val="第%2章"/>
      <w:lvlJc w:val="center"/>
      <w:pPr>
        <w:tabs>
          <w:tab w:val="left" w:pos="0"/>
        </w:tabs>
        <w:ind w:left="0" w:firstLine="0"/>
      </w:pPr>
      <w:rPr>
        <w:rFonts w:hint="eastAsia" w:ascii="宋体" w:hAnsi="宋体" w:eastAsia="黑体" w:cs="宋体"/>
        <w:b w:val="0"/>
        <w:sz w:val="32"/>
      </w:rPr>
    </w:lvl>
    <w:lvl w:ilvl="2" w:tentative="0">
      <w:start w:val="1"/>
      <w:numFmt w:val="chineseCounting"/>
      <w:pStyle w:val="4"/>
      <w:suff w:val="space"/>
      <w:lvlText w:val="第%3节"/>
      <w:lvlJc w:val="center"/>
      <w:pPr>
        <w:tabs>
          <w:tab w:val="left" w:pos="0"/>
        </w:tabs>
        <w:ind w:left="0" w:firstLine="0"/>
      </w:pPr>
      <w:rPr>
        <w:rFonts w:hint="eastAsia" w:ascii="黑体" w:hAnsi="黑体" w:eastAsia="楷体_GB2312" w:cs="黑体"/>
        <w:sz w:val="32"/>
      </w:rPr>
    </w:lvl>
    <w:lvl w:ilvl="3" w:tentative="0">
      <w:start w:val="1"/>
      <w:numFmt w:val="decimalFullWidth"/>
      <w:lvlRestart w:val="0"/>
      <w:suff w:val="space"/>
      <w:lvlText w:val="专栏%4."/>
      <w:lvlJc w:val="center"/>
      <w:pPr>
        <w:tabs>
          <w:tab w:val="left" w:pos="0"/>
        </w:tabs>
        <w:ind w:left="0" w:firstLine="0"/>
      </w:pPr>
      <w:rPr>
        <w:rFonts w:hint="eastAsia" w:ascii="楷体" w:hAnsi="楷体" w:eastAsia="楷体"/>
        <w:b/>
        <w:sz w:val="28"/>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MWFkZTBhZTNlY2NlNGI3ZjM1ZGVhMzU0YjJlYmUifQ=="/>
  </w:docVars>
  <w:rsids>
    <w:rsidRoot w:val="7F1B2252"/>
    <w:rsid w:val="002C4449"/>
    <w:rsid w:val="008D138C"/>
    <w:rsid w:val="011C626C"/>
    <w:rsid w:val="01695955"/>
    <w:rsid w:val="024C492F"/>
    <w:rsid w:val="02535CBD"/>
    <w:rsid w:val="02936A01"/>
    <w:rsid w:val="02A604E3"/>
    <w:rsid w:val="03583287"/>
    <w:rsid w:val="035B2B6B"/>
    <w:rsid w:val="03605B9C"/>
    <w:rsid w:val="036A661E"/>
    <w:rsid w:val="03725FB5"/>
    <w:rsid w:val="03C54999"/>
    <w:rsid w:val="03EF15E0"/>
    <w:rsid w:val="041C69A4"/>
    <w:rsid w:val="0479743D"/>
    <w:rsid w:val="04932CE9"/>
    <w:rsid w:val="04E80ACC"/>
    <w:rsid w:val="05104339"/>
    <w:rsid w:val="054F44EF"/>
    <w:rsid w:val="05575AC4"/>
    <w:rsid w:val="05676E89"/>
    <w:rsid w:val="05FE60AA"/>
    <w:rsid w:val="062E56B4"/>
    <w:rsid w:val="06473FEE"/>
    <w:rsid w:val="064C75F3"/>
    <w:rsid w:val="06A411DD"/>
    <w:rsid w:val="06C675E3"/>
    <w:rsid w:val="06F04422"/>
    <w:rsid w:val="07612C2A"/>
    <w:rsid w:val="079828D2"/>
    <w:rsid w:val="07B40FAC"/>
    <w:rsid w:val="07D462F0"/>
    <w:rsid w:val="07ED042F"/>
    <w:rsid w:val="07F127C0"/>
    <w:rsid w:val="084542FA"/>
    <w:rsid w:val="09060B0B"/>
    <w:rsid w:val="099F5C8C"/>
    <w:rsid w:val="09BF125C"/>
    <w:rsid w:val="0A2F7010"/>
    <w:rsid w:val="0A5151D8"/>
    <w:rsid w:val="0AA31A19"/>
    <w:rsid w:val="0AC51838"/>
    <w:rsid w:val="0BDC6D23"/>
    <w:rsid w:val="0C6C79F5"/>
    <w:rsid w:val="0C80094B"/>
    <w:rsid w:val="0CA06FE5"/>
    <w:rsid w:val="0CEB0F67"/>
    <w:rsid w:val="0CF07428"/>
    <w:rsid w:val="0D054058"/>
    <w:rsid w:val="0D3914FC"/>
    <w:rsid w:val="0D571F0A"/>
    <w:rsid w:val="0D6B65B1"/>
    <w:rsid w:val="0E8E5BB1"/>
    <w:rsid w:val="0EAC6E81"/>
    <w:rsid w:val="0EBD3A74"/>
    <w:rsid w:val="0F312C7C"/>
    <w:rsid w:val="0F51444B"/>
    <w:rsid w:val="0FC92877"/>
    <w:rsid w:val="0FF97D9D"/>
    <w:rsid w:val="101C1699"/>
    <w:rsid w:val="102929E2"/>
    <w:rsid w:val="10637A13"/>
    <w:rsid w:val="10EF368D"/>
    <w:rsid w:val="11077B84"/>
    <w:rsid w:val="11904838"/>
    <w:rsid w:val="11934328"/>
    <w:rsid w:val="11BD15AF"/>
    <w:rsid w:val="123626F0"/>
    <w:rsid w:val="123D6042"/>
    <w:rsid w:val="12D0432D"/>
    <w:rsid w:val="130367E2"/>
    <w:rsid w:val="13E9BC5B"/>
    <w:rsid w:val="13F44C4B"/>
    <w:rsid w:val="145B0F39"/>
    <w:rsid w:val="145E6E6F"/>
    <w:rsid w:val="147B69EE"/>
    <w:rsid w:val="14E530ED"/>
    <w:rsid w:val="150317C5"/>
    <w:rsid w:val="15253159"/>
    <w:rsid w:val="15466D7F"/>
    <w:rsid w:val="15DD7A73"/>
    <w:rsid w:val="16963CDE"/>
    <w:rsid w:val="16985F3D"/>
    <w:rsid w:val="16A1573D"/>
    <w:rsid w:val="16DF3B6C"/>
    <w:rsid w:val="16FB6BF7"/>
    <w:rsid w:val="172E7DCF"/>
    <w:rsid w:val="17982698"/>
    <w:rsid w:val="185A16FC"/>
    <w:rsid w:val="18A24E51"/>
    <w:rsid w:val="18E24C39"/>
    <w:rsid w:val="18F002B2"/>
    <w:rsid w:val="18FD1EED"/>
    <w:rsid w:val="19061883"/>
    <w:rsid w:val="19123828"/>
    <w:rsid w:val="19213EB6"/>
    <w:rsid w:val="192E4482"/>
    <w:rsid w:val="19487815"/>
    <w:rsid w:val="19A76BC3"/>
    <w:rsid w:val="1A0502CE"/>
    <w:rsid w:val="1A0551DF"/>
    <w:rsid w:val="1A313033"/>
    <w:rsid w:val="1A46462D"/>
    <w:rsid w:val="1A7F5449"/>
    <w:rsid w:val="1A8C6C9A"/>
    <w:rsid w:val="1ABC669E"/>
    <w:rsid w:val="1B214753"/>
    <w:rsid w:val="1B4212D6"/>
    <w:rsid w:val="1B9238A2"/>
    <w:rsid w:val="1B9F5776"/>
    <w:rsid w:val="1BF6BFFF"/>
    <w:rsid w:val="1C630856"/>
    <w:rsid w:val="1CB25FAA"/>
    <w:rsid w:val="1CF30371"/>
    <w:rsid w:val="1D734062"/>
    <w:rsid w:val="1D7A4A37"/>
    <w:rsid w:val="1D9DA8D8"/>
    <w:rsid w:val="1DEA3522"/>
    <w:rsid w:val="1E05035C"/>
    <w:rsid w:val="1E18008F"/>
    <w:rsid w:val="1E1D6080"/>
    <w:rsid w:val="1E3D4AC2"/>
    <w:rsid w:val="1EA453F3"/>
    <w:rsid w:val="1EFE4D0B"/>
    <w:rsid w:val="1F136AA8"/>
    <w:rsid w:val="1F45505E"/>
    <w:rsid w:val="1F5676E4"/>
    <w:rsid w:val="1F7C6581"/>
    <w:rsid w:val="1FB9BB27"/>
    <w:rsid w:val="1FCA144E"/>
    <w:rsid w:val="1FD955FC"/>
    <w:rsid w:val="1FEF125B"/>
    <w:rsid w:val="1FEFAE4C"/>
    <w:rsid w:val="1FF18D37"/>
    <w:rsid w:val="1FFD66C9"/>
    <w:rsid w:val="20C9580E"/>
    <w:rsid w:val="20DB53A4"/>
    <w:rsid w:val="211B195F"/>
    <w:rsid w:val="21AC2028"/>
    <w:rsid w:val="21EE534A"/>
    <w:rsid w:val="220C2014"/>
    <w:rsid w:val="224865EA"/>
    <w:rsid w:val="22F74CC6"/>
    <w:rsid w:val="23160A47"/>
    <w:rsid w:val="234F5BD5"/>
    <w:rsid w:val="23561D84"/>
    <w:rsid w:val="23641680"/>
    <w:rsid w:val="23B56380"/>
    <w:rsid w:val="23B819CC"/>
    <w:rsid w:val="23FF4F19"/>
    <w:rsid w:val="240A11E8"/>
    <w:rsid w:val="240D3609"/>
    <w:rsid w:val="24601037"/>
    <w:rsid w:val="24961D0D"/>
    <w:rsid w:val="25096983"/>
    <w:rsid w:val="2576BE5E"/>
    <w:rsid w:val="257E5B91"/>
    <w:rsid w:val="257EDD78"/>
    <w:rsid w:val="25B577B4"/>
    <w:rsid w:val="25DD571A"/>
    <w:rsid w:val="2604714B"/>
    <w:rsid w:val="260E1D77"/>
    <w:rsid w:val="26296BB1"/>
    <w:rsid w:val="26A36964"/>
    <w:rsid w:val="26A60202"/>
    <w:rsid w:val="26C96854"/>
    <w:rsid w:val="271F52C5"/>
    <w:rsid w:val="27217D30"/>
    <w:rsid w:val="27280C17"/>
    <w:rsid w:val="278E4F1E"/>
    <w:rsid w:val="27D35027"/>
    <w:rsid w:val="27EA7E1B"/>
    <w:rsid w:val="27FD49E0"/>
    <w:rsid w:val="27FEBFEC"/>
    <w:rsid w:val="27FF6824"/>
    <w:rsid w:val="28414686"/>
    <w:rsid w:val="28BA34EA"/>
    <w:rsid w:val="28F33BD2"/>
    <w:rsid w:val="2916166F"/>
    <w:rsid w:val="296F0964"/>
    <w:rsid w:val="297E051F"/>
    <w:rsid w:val="29916F47"/>
    <w:rsid w:val="29E90B31"/>
    <w:rsid w:val="2AB4113F"/>
    <w:rsid w:val="2AED1068"/>
    <w:rsid w:val="2AED38D4"/>
    <w:rsid w:val="2B1E7D4C"/>
    <w:rsid w:val="2B255B99"/>
    <w:rsid w:val="2B4D4BC5"/>
    <w:rsid w:val="2B605F3B"/>
    <w:rsid w:val="2C250873"/>
    <w:rsid w:val="2C453FE1"/>
    <w:rsid w:val="2E165D86"/>
    <w:rsid w:val="2EB95D46"/>
    <w:rsid w:val="2EBD258D"/>
    <w:rsid w:val="2F081A5A"/>
    <w:rsid w:val="2F1A353B"/>
    <w:rsid w:val="2F633B47"/>
    <w:rsid w:val="2F7F8253"/>
    <w:rsid w:val="2FA21B63"/>
    <w:rsid w:val="2FAF1ED5"/>
    <w:rsid w:val="2FAF7D44"/>
    <w:rsid w:val="2FDB9C8A"/>
    <w:rsid w:val="2FEF33CC"/>
    <w:rsid w:val="2FF635B8"/>
    <w:rsid w:val="304659F4"/>
    <w:rsid w:val="30556F21"/>
    <w:rsid w:val="30677C1C"/>
    <w:rsid w:val="3069477A"/>
    <w:rsid w:val="307D6477"/>
    <w:rsid w:val="30B8300C"/>
    <w:rsid w:val="30BF2F87"/>
    <w:rsid w:val="310224D9"/>
    <w:rsid w:val="31350B00"/>
    <w:rsid w:val="31AF08B2"/>
    <w:rsid w:val="31FC2861"/>
    <w:rsid w:val="323446FA"/>
    <w:rsid w:val="324B17FE"/>
    <w:rsid w:val="32971C7C"/>
    <w:rsid w:val="32CB9102"/>
    <w:rsid w:val="32DD0471"/>
    <w:rsid w:val="336F5E32"/>
    <w:rsid w:val="337F0605"/>
    <w:rsid w:val="33A65557"/>
    <w:rsid w:val="33C3BA55"/>
    <w:rsid w:val="34B00F04"/>
    <w:rsid w:val="34C74DC6"/>
    <w:rsid w:val="34EE524E"/>
    <w:rsid w:val="351975ED"/>
    <w:rsid w:val="359C114E"/>
    <w:rsid w:val="359C73A0"/>
    <w:rsid w:val="35FF45A0"/>
    <w:rsid w:val="36051E20"/>
    <w:rsid w:val="361433DA"/>
    <w:rsid w:val="367F5E73"/>
    <w:rsid w:val="36FB28F2"/>
    <w:rsid w:val="373D2A5F"/>
    <w:rsid w:val="37421881"/>
    <w:rsid w:val="375909AC"/>
    <w:rsid w:val="37624DE8"/>
    <w:rsid w:val="37DF17C6"/>
    <w:rsid w:val="395F496C"/>
    <w:rsid w:val="399EFCF5"/>
    <w:rsid w:val="39D5718A"/>
    <w:rsid w:val="39F7AB41"/>
    <w:rsid w:val="3B3A743F"/>
    <w:rsid w:val="3B540DC9"/>
    <w:rsid w:val="3B7B329E"/>
    <w:rsid w:val="3B97920B"/>
    <w:rsid w:val="3BBE1EE8"/>
    <w:rsid w:val="3BDD45B0"/>
    <w:rsid w:val="3C1934F8"/>
    <w:rsid w:val="3C3144BC"/>
    <w:rsid w:val="3C3E10BB"/>
    <w:rsid w:val="3C89D2A4"/>
    <w:rsid w:val="3D3D78AB"/>
    <w:rsid w:val="3DAE7C70"/>
    <w:rsid w:val="3DB60C70"/>
    <w:rsid w:val="3DCF7FCF"/>
    <w:rsid w:val="3DF9C1C0"/>
    <w:rsid w:val="3DFDE94B"/>
    <w:rsid w:val="3E534225"/>
    <w:rsid w:val="3E7B365E"/>
    <w:rsid w:val="3E9C5D1B"/>
    <w:rsid w:val="3EBB1756"/>
    <w:rsid w:val="3ED53C2A"/>
    <w:rsid w:val="3EFD6EDC"/>
    <w:rsid w:val="3F2F7296"/>
    <w:rsid w:val="3F7722E4"/>
    <w:rsid w:val="3F780EC3"/>
    <w:rsid w:val="3F8213B4"/>
    <w:rsid w:val="3F9133A5"/>
    <w:rsid w:val="3F9D7EBF"/>
    <w:rsid w:val="3FB43397"/>
    <w:rsid w:val="3FDFEFE6"/>
    <w:rsid w:val="3FFEF771"/>
    <w:rsid w:val="403C77B5"/>
    <w:rsid w:val="40490124"/>
    <w:rsid w:val="40890521"/>
    <w:rsid w:val="40B432AC"/>
    <w:rsid w:val="40DD41E9"/>
    <w:rsid w:val="411E0630"/>
    <w:rsid w:val="41990C37"/>
    <w:rsid w:val="41C17A3A"/>
    <w:rsid w:val="41DC5E77"/>
    <w:rsid w:val="421D2C9A"/>
    <w:rsid w:val="42293C97"/>
    <w:rsid w:val="423522EA"/>
    <w:rsid w:val="42725DC1"/>
    <w:rsid w:val="42DF27AE"/>
    <w:rsid w:val="4323052E"/>
    <w:rsid w:val="43254DBA"/>
    <w:rsid w:val="43291B47"/>
    <w:rsid w:val="43445FA8"/>
    <w:rsid w:val="438A5BEC"/>
    <w:rsid w:val="43A01E09"/>
    <w:rsid w:val="43B104BA"/>
    <w:rsid w:val="43BFD7AF"/>
    <w:rsid w:val="43D57C80"/>
    <w:rsid w:val="43EC504E"/>
    <w:rsid w:val="448F7DDB"/>
    <w:rsid w:val="45C06792"/>
    <w:rsid w:val="45CD1B48"/>
    <w:rsid w:val="460A2104"/>
    <w:rsid w:val="463158E2"/>
    <w:rsid w:val="46761B7E"/>
    <w:rsid w:val="46C8055E"/>
    <w:rsid w:val="47F00E85"/>
    <w:rsid w:val="47FF4FD0"/>
    <w:rsid w:val="47FF901F"/>
    <w:rsid w:val="4800556C"/>
    <w:rsid w:val="484336AB"/>
    <w:rsid w:val="487E2EFD"/>
    <w:rsid w:val="48B56357"/>
    <w:rsid w:val="49143FE3"/>
    <w:rsid w:val="49170934"/>
    <w:rsid w:val="49962931"/>
    <w:rsid w:val="499D63F4"/>
    <w:rsid w:val="49F40B37"/>
    <w:rsid w:val="4A296EB6"/>
    <w:rsid w:val="4A331C29"/>
    <w:rsid w:val="4AA46683"/>
    <w:rsid w:val="4AEE3DA2"/>
    <w:rsid w:val="4B052E99"/>
    <w:rsid w:val="4B101F6A"/>
    <w:rsid w:val="4B182BCD"/>
    <w:rsid w:val="4B1F03FF"/>
    <w:rsid w:val="4BD16C20"/>
    <w:rsid w:val="4C3EC064"/>
    <w:rsid w:val="4C5B0FC3"/>
    <w:rsid w:val="4CBC790F"/>
    <w:rsid w:val="4CBD0A6E"/>
    <w:rsid w:val="4CD241FD"/>
    <w:rsid w:val="4CFF4CB4"/>
    <w:rsid w:val="4D3C354E"/>
    <w:rsid w:val="4D4715BB"/>
    <w:rsid w:val="4DFF48B7"/>
    <w:rsid w:val="4E557C94"/>
    <w:rsid w:val="4E7372AF"/>
    <w:rsid w:val="4E781D55"/>
    <w:rsid w:val="4F422F98"/>
    <w:rsid w:val="4FB8497E"/>
    <w:rsid w:val="4FF34C57"/>
    <w:rsid w:val="502E7469"/>
    <w:rsid w:val="508E2A4B"/>
    <w:rsid w:val="51BF0A1E"/>
    <w:rsid w:val="51BF1FF4"/>
    <w:rsid w:val="51D320A3"/>
    <w:rsid w:val="51D977EB"/>
    <w:rsid w:val="51F6353C"/>
    <w:rsid w:val="52110875"/>
    <w:rsid w:val="521108B0"/>
    <w:rsid w:val="52D6583A"/>
    <w:rsid w:val="52DD394D"/>
    <w:rsid w:val="53174242"/>
    <w:rsid w:val="537D2167"/>
    <w:rsid w:val="53A70F92"/>
    <w:rsid w:val="53E33EC5"/>
    <w:rsid w:val="53F7F01A"/>
    <w:rsid w:val="544159FD"/>
    <w:rsid w:val="5559450E"/>
    <w:rsid w:val="555E1B24"/>
    <w:rsid w:val="55DF354F"/>
    <w:rsid w:val="55ED2D06"/>
    <w:rsid w:val="55F93D86"/>
    <w:rsid w:val="567FF7E6"/>
    <w:rsid w:val="56B90738"/>
    <w:rsid w:val="56F40656"/>
    <w:rsid w:val="57667CCC"/>
    <w:rsid w:val="576FC041"/>
    <w:rsid w:val="57E5B4DA"/>
    <w:rsid w:val="57F268C0"/>
    <w:rsid w:val="5805272B"/>
    <w:rsid w:val="584B2834"/>
    <w:rsid w:val="58BE40FF"/>
    <w:rsid w:val="58CD75D8"/>
    <w:rsid w:val="58EE4FB5"/>
    <w:rsid w:val="58FFE6EE"/>
    <w:rsid w:val="5A20479B"/>
    <w:rsid w:val="5AA82B94"/>
    <w:rsid w:val="5ADC4177"/>
    <w:rsid w:val="5AE46A98"/>
    <w:rsid w:val="5B1C2265"/>
    <w:rsid w:val="5B264E92"/>
    <w:rsid w:val="5B4A10CF"/>
    <w:rsid w:val="5B5E0216"/>
    <w:rsid w:val="5BBC6382"/>
    <w:rsid w:val="5BFD8FB6"/>
    <w:rsid w:val="5BFDE8F9"/>
    <w:rsid w:val="5BFEE1F0"/>
    <w:rsid w:val="5C533A65"/>
    <w:rsid w:val="5C6E6FFE"/>
    <w:rsid w:val="5D5D4FE7"/>
    <w:rsid w:val="5D635023"/>
    <w:rsid w:val="5D6E3A83"/>
    <w:rsid w:val="5D8F31C2"/>
    <w:rsid w:val="5DF932F0"/>
    <w:rsid w:val="5E1027FA"/>
    <w:rsid w:val="5E385608"/>
    <w:rsid w:val="5E3F6EAD"/>
    <w:rsid w:val="5E7D5DEC"/>
    <w:rsid w:val="5E7F25A0"/>
    <w:rsid w:val="5E7FE255"/>
    <w:rsid w:val="5EBD6F1C"/>
    <w:rsid w:val="5EFD5F0A"/>
    <w:rsid w:val="5F453E6F"/>
    <w:rsid w:val="5F5D4BFA"/>
    <w:rsid w:val="5F6A0CF6"/>
    <w:rsid w:val="5F9E75F1"/>
    <w:rsid w:val="5F9EBA88"/>
    <w:rsid w:val="5FBE8E0A"/>
    <w:rsid w:val="5FD798A8"/>
    <w:rsid w:val="5FD9B5DB"/>
    <w:rsid w:val="5FDF14A7"/>
    <w:rsid w:val="5FF10BFE"/>
    <w:rsid w:val="607B6D37"/>
    <w:rsid w:val="60870181"/>
    <w:rsid w:val="611814CD"/>
    <w:rsid w:val="61606367"/>
    <w:rsid w:val="616A0F37"/>
    <w:rsid w:val="61B93FD0"/>
    <w:rsid w:val="629673D7"/>
    <w:rsid w:val="638135AD"/>
    <w:rsid w:val="63A52CE5"/>
    <w:rsid w:val="63B7EE4D"/>
    <w:rsid w:val="6404185A"/>
    <w:rsid w:val="642C13FA"/>
    <w:rsid w:val="643B2EFE"/>
    <w:rsid w:val="648A46E4"/>
    <w:rsid w:val="65042DB8"/>
    <w:rsid w:val="65FE2DD4"/>
    <w:rsid w:val="660364FC"/>
    <w:rsid w:val="671BF4A8"/>
    <w:rsid w:val="67404958"/>
    <w:rsid w:val="677F6056"/>
    <w:rsid w:val="6907588C"/>
    <w:rsid w:val="69AA3132"/>
    <w:rsid w:val="69D61243"/>
    <w:rsid w:val="69EE1271"/>
    <w:rsid w:val="69F74C5C"/>
    <w:rsid w:val="6A7E4423"/>
    <w:rsid w:val="6AA43A6A"/>
    <w:rsid w:val="6ABF65A9"/>
    <w:rsid w:val="6ACA3A8C"/>
    <w:rsid w:val="6AEF704E"/>
    <w:rsid w:val="6AEFC46E"/>
    <w:rsid w:val="6B19231D"/>
    <w:rsid w:val="6B304E9E"/>
    <w:rsid w:val="6B5E2426"/>
    <w:rsid w:val="6B5F08B0"/>
    <w:rsid w:val="6B7F0908"/>
    <w:rsid w:val="6BBD0AB5"/>
    <w:rsid w:val="6BBFEB8F"/>
    <w:rsid w:val="6BEF1B41"/>
    <w:rsid w:val="6BFBFE2D"/>
    <w:rsid w:val="6BFFFAE7"/>
    <w:rsid w:val="6C2E1026"/>
    <w:rsid w:val="6CB57E24"/>
    <w:rsid w:val="6CFB3300"/>
    <w:rsid w:val="6D284A9A"/>
    <w:rsid w:val="6D693786"/>
    <w:rsid w:val="6D8A12B0"/>
    <w:rsid w:val="6DB36A59"/>
    <w:rsid w:val="6DCBBC50"/>
    <w:rsid w:val="6DD712DC"/>
    <w:rsid w:val="6DDB5FB0"/>
    <w:rsid w:val="6DFD4ACB"/>
    <w:rsid w:val="6E1130C8"/>
    <w:rsid w:val="6E381635"/>
    <w:rsid w:val="6E4964BF"/>
    <w:rsid w:val="6E6B0D63"/>
    <w:rsid w:val="6E7330D5"/>
    <w:rsid w:val="6E7B6C4A"/>
    <w:rsid w:val="6E7F11FA"/>
    <w:rsid w:val="6EFE7F1D"/>
    <w:rsid w:val="6F6D40C5"/>
    <w:rsid w:val="6F97ACA0"/>
    <w:rsid w:val="6F99CE93"/>
    <w:rsid w:val="6F9F00B7"/>
    <w:rsid w:val="6F9F59E3"/>
    <w:rsid w:val="6FCD0C63"/>
    <w:rsid w:val="6FD25146"/>
    <w:rsid w:val="6FD79F9A"/>
    <w:rsid w:val="6FDB6FE0"/>
    <w:rsid w:val="6FDBF661"/>
    <w:rsid w:val="6FF50023"/>
    <w:rsid w:val="6FF66708"/>
    <w:rsid w:val="6FFB5525"/>
    <w:rsid w:val="6FFD59EF"/>
    <w:rsid w:val="70A64E17"/>
    <w:rsid w:val="70B34FC2"/>
    <w:rsid w:val="70D6480D"/>
    <w:rsid w:val="717EB301"/>
    <w:rsid w:val="71AF12E6"/>
    <w:rsid w:val="71CDE781"/>
    <w:rsid w:val="71E17CC4"/>
    <w:rsid w:val="71FB028A"/>
    <w:rsid w:val="72B96D93"/>
    <w:rsid w:val="72D980EC"/>
    <w:rsid w:val="72EE1D63"/>
    <w:rsid w:val="737F77FF"/>
    <w:rsid w:val="7397FD1C"/>
    <w:rsid w:val="73BF0E95"/>
    <w:rsid w:val="73DFD2D7"/>
    <w:rsid w:val="73F6EDEB"/>
    <w:rsid w:val="73FB90DF"/>
    <w:rsid w:val="73FDB224"/>
    <w:rsid w:val="743326A2"/>
    <w:rsid w:val="74604224"/>
    <w:rsid w:val="74A92964"/>
    <w:rsid w:val="74B73960"/>
    <w:rsid w:val="74C25711"/>
    <w:rsid w:val="74FDADEF"/>
    <w:rsid w:val="7533222E"/>
    <w:rsid w:val="75566AD5"/>
    <w:rsid w:val="759F0318"/>
    <w:rsid w:val="75ABACDF"/>
    <w:rsid w:val="75B30843"/>
    <w:rsid w:val="75BE2D12"/>
    <w:rsid w:val="75D270BD"/>
    <w:rsid w:val="75FD6E6F"/>
    <w:rsid w:val="75FF5AC4"/>
    <w:rsid w:val="75FFB435"/>
    <w:rsid w:val="767DCF69"/>
    <w:rsid w:val="76BE73E9"/>
    <w:rsid w:val="76DB492B"/>
    <w:rsid w:val="76DFF03D"/>
    <w:rsid w:val="76FEE58C"/>
    <w:rsid w:val="775ED3FC"/>
    <w:rsid w:val="778B00FF"/>
    <w:rsid w:val="778ED14D"/>
    <w:rsid w:val="77B4B2DD"/>
    <w:rsid w:val="77D93105"/>
    <w:rsid w:val="77DD3BB2"/>
    <w:rsid w:val="77DF7740"/>
    <w:rsid w:val="77E76ADF"/>
    <w:rsid w:val="78580A05"/>
    <w:rsid w:val="78972F75"/>
    <w:rsid w:val="78BF6AF9"/>
    <w:rsid w:val="78DB5DFD"/>
    <w:rsid w:val="78E64437"/>
    <w:rsid w:val="79986B03"/>
    <w:rsid w:val="79A03FCF"/>
    <w:rsid w:val="79B7E27C"/>
    <w:rsid w:val="79D65B43"/>
    <w:rsid w:val="7A3A2594"/>
    <w:rsid w:val="7A685C90"/>
    <w:rsid w:val="7ABF42E6"/>
    <w:rsid w:val="7AD3FAF7"/>
    <w:rsid w:val="7AEF407E"/>
    <w:rsid w:val="7AF1A7E4"/>
    <w:rsid w:val="7AF6ADBC"/>
    <w:rsid w:val="7AF747FA"/>
    <w:rsid w:val="7AFFE084"/>
    <w:rsid w:val="7B3D5B06"/>
    <w:rsid w:val="7B79170D"/>
    <w:rsid w:val="7B7F8FD5"/>
    <w:rsid w:val="7B7FAD50"/>
    <w:rsid w:val="7BA9149B"/>
    <w:rsid w:val="7BBF0DBE"/>
    <w:rsid w:val="7BDF7D1E"/>
    <w:rsid w:val="7BE70FB1"/>
    <w:rsid w:val="7BFFA897"/>
    <w:rsid w:val="7C07729E"/>
    <w:rsid w:val="7CAA7279"/>
    <w:rsid w:val="7CEDC215"/>
    <w:rsid w:val="7CFFAC1A"/>
    <w:rsid w:val="7D342FE7"/>
    <w:rsid w:val="7D5B67C5"/>
    <w:rsid w:val="7D77C35A"/>
    <w:rsid w:val="7D7B0823"/>
    <w:rsid w:val="7D94297B"/>
    <w:rsid w:val="7DAA378D"/>
    <w:rsid w:val="7DB3377D"/>
    <w:rsid w:val="7DDF1A38"/>
    <w:rsid w:val="7DF76B73"/>
    <w:rsid w:val="7DFCF057"/>
    <w:rsid w:val="7DFDD80D"/>
    <w:rsid w:val="7DFF56F6"/>
    <w:rsid w:val="7DFF5D16"/>
    <w:rsid w:val="7E046E5D"/>
    <w:rsid w:val="7E5342F3"/>
    <w:rsid w:val="7E6F2DE5"/>
    <w:rsid w:val="7E712E38"/>
    <w:rsid w:val="7EA27DD9"/>
    <w:rsid w:val="7EA7D20C"/>
    <w:rsid w:val="7EBF06CF"/>
    <w:rsid w:val="7ED6F055"/>
    <w:rsid w:val="7EDDDA3A"/>
    <w:rsid w:val="7EDE145C"/>
    <w:rsid w:val="7EDF47F6"/>
    <w:rsid w:val="7EF3AC04"/>
    <w:rsid w:val="7EFA3869"/>
    <w:rsid w:val="7EFFD281"/>
    <w:rsid w:val="7EFFEA19"/>
    <w:rsid w:val="7F1519E1"/>
    <w:rsid w:val="7F1B2252"/>
    <w:rsid w:val="7F2DE7A1"/>
    <w:rsid w:val="7F69DF8B"/>
    <w:rsid w:val="7F6F814E"/>
    <w:rsid w:val="7F775842"/>
    <w:rsid w:val="7F7A03BA"/>
    <w:rsid w:val="7F7F11E2"/>
    <w:rsid w:val="7F7FC0EA"/>
    <w:rsid w:val="7F9740E8"/>
    <w:rsid w:val="7F9BB96B"/>
    <w:rsid w:val="7F9C16DD"/>
    <w:rsid w:val="7FADB911"/>
    <w:rsid w:val="7FB6C324"/>
    <w:rsid w:val="7FBE2A2A"/>
    <w:rsid w:val="7FBF8D5E"/>
    <w:rsid w:val="7FCF9072"/>
    <w:rsid w:val="7FD4D227"/>
    <w:rsid w:val="7FDD2999"/>
    <w:rsid w:val="7FDE3D53"/>
    <w:rsid w:val="7FDFB93C"/>
    <w:rsid w:val="7FDFDE43"/>
    <w:rsid w:val="7FE69D29"/>
    <w:rsid w:val="7FE74A5D"/>
    <w:rsid w:val="7FEB7CDC"/>
    <w:rsid w:val="7FEEB5A9"/>
    <w:rsid w:val="7FEFCE23"/>
    <w:rsid w:val="7FF94215"/>
    <w:rsid w:val="7FFDCA33"/>
    <w:rsid w:val="7FFF06A5"/>
    <w:rsid w:val="7FFF8DEF"/>
    <w:rsid w:val="7FFFB722"/>
    <w:rsid w:val="7FFFBE30"/>
    <w:rsid w:val="7FFFD9A6"/>
    <w:rsid w:val="7FFFF28A"/>
    <w:rsid w:val="7FFFF7E9"/>
    <w:rsid w:val="7FFFFC0F"/>
    <w:rsid w:val="7FFFFC77"/>
    <w:rsid w:val="8BDC04FD"/>
    <w:rsid w:val="8FA63768"/>
    <w:rsid w:val="93FF9469"/>
    <w:rsid w:val="973B04DA"/>
    <w:rsid w:val="976D2886"/>
    <w:rsid w:val="9773A605"/>
    <w:rsid w:val="97E7756E"/>
    <w:rsid w:val="97FBB15A"/>
    <w:rsid w:val="9BDB53F3"/>
    <w:rsid w:val="9CBD65D9"/>
    <w:rsid w:val="9DDF1624"/>
    <w:rsid w:val="9EBF9756"/>
    <w:rsid w:val="A3EFCDB3"/>
    <w:rsid w:val="A4FCD8E5"/>
    <w:rsid w:val="A7FD3FCE"/>
    <w:rsid w:val="A7FFC615"/>
    <w:rsid w:val="AE379C41"/>
    <w:rsid w:val="AEBEDB5C"/>
    <w:rsid w:val="AEE7AD74"/>
    <w:rsid w:val="AFFC2B9E"/>
    <w:rsid w:val="B4F52548"/>
    <w:rsid w:val="B537F972"/>
    <w:rsid w:val="B6F5D2EC"/>
    <w:rsid w:val="B6F92F90"/>
    <w:rsid w:val="B7FE958E"/>
    <w:rsid w:val="B9E73DCE"/>
    <w:rsid w:val="BBD70C5D"/>
    <w:rsid w:val="BBF50960"/>
    <w:rsid w:val="BBFFBB8B"/>
    <w:rsid w:val="BDEE8523"/>
    <w:rsid w:val="BDF15468"/>
    <w:rsid w:val="BDF6FBAF"/>
    <w:rsid w:val="BECFD447"/>
    <w:rsid w:val="BEFA29E6"/>
    <w:rsid w:val="BEFF3EB4"/>
    <w:rsid w:val="BEFFF61C"/>
    <w:rsid w:val="BF3B2FDE"/>
    <w:rsid w:val="BFBBCE6E"/>
    <w:rsid w:val="BFCFCB89"/>
    <w:rsid w:val="BFDC1164"/>
    <w:rsid w:val="BFEDC26D"/>
    <w:rsid w:val="BFFD5780"/>
    <w:rsid w:val="C7AFFDA9"/>
    <w:rsid w:val="C7B78F37"/>
    <w:rsid w:val="C7CB3ACA"/>
    <w:rsid w:val="CBF33D6D"/>
    <w:rsid w:val="CDD246E9"/>
    <w:rsid w:val="CF57681B"/>
    <w:rsid w:val="CF76D0DE"/>
    <w:rsid w:val="CFD5E742"/>
    <w:rsid w:val="CFE6F764"/>
    <w:rsid w:val="CFEFE5C7"/>
    <w:rsid w:val="CFFC5B8E"/>
    <w:rsid w:val="CFFF1768"/>
    <w:rsid w:val="D635A15F"/>
    <w:rsid w:val="D72FD327"/>
    <w:rsid w:val="D7FFED71"/>
    <w:rsid w:val="DABC089A"/>
    <w:rsid w:val="DBBC75EA"/>
    <w:rsid w:val="DBBFBAC5"/>
    <w:rsid w:val="DBE12DEE"/>
    <w:rsid w:val="DCDFCF7E"/>
    <w:rsid w:val="DCF6284C"/>
    <w:rsid w:val="DDF524CF"/>
    <w:rsid w:val="DDFEBE88"/>
    <w:rsid w:val="DDFFD578"/>
    <w:rsid w:val="DEBFAA1E"/>
    <w:rsid w:val="DEEE32D7"/>
    <w:rsid w:val="DEFCCB4B"/>
    <w:rsid w:val="DF29A22F"/>
    <w:rsid w:val="DF570761"/>
    <w:rsid w:val="DF696F23"/>
    <w:rsid w:val="DF766CF7"/>
    <w:rsid w:val="DF773BFE"/>
    <w:rsid w:val="DF7F8A59"/>
    <w:rsid w:val="DF7FCF35"/>
    <w:rsid w:val="DFAB3EEA"/>
    <w:rsid w:val="DFBBFD16"/>
    <w:rsid w:val="DFBE243A"/>
    <w:rsid w:val="DFC7F288"/>
    <w:rsid w:val="DFF31FDB"/>
    <w:rsid w:val="DFF5EE86"/>
    <w:rsid w:val="DFF7326A"/>
    <w:rsid w:val="DFF7386E"/>
    <w:rsid w:val="DFFE9260"/>
    <w:rsid w:val="E0EEC6FF"/>
    <w:rsid w:val="E1E72CD3"/>
    <w:rsid w:val="E2AD36F6"/>
    <w:rsid w:val="E61A5FC6"/>
    <w:rsid w:val="E66103D5"/>
    <w:rsid w:val="E7DF4567"/>
    <w:rsid w:val="E9FD960B"/>
    <w:rsid w:val="E9FF26AF"/>
    <w:rsid w:val="EABFDBA3"/>
    <w:rsid w:val="EB4ED7BD"/>
    <w:rsid w:val="EB96DD62"/>
    <w:rsid w:val="EBBF1584"/>
    <w:rsid w:val="EBDF68F5"/>
    <w:rsid w:val="EBF6720C"/>
    <w:rsid w:val="EBF9A56D"/>
    <w:rsid w:val="EBFDEAA4"/>
    <w:rsid w:val="EC7F6047"/>
    <w:rsid w:val="ECFDDC5B"/>
    <w:rsid w:val="ED383F47"/>
    <w:rsid w:val="ED7F7FC1"/>
    <w:rsid w:val="EEF62D43"/>
    <w:rsid w:val="EEF73AFD"/>
    <w:rsid w:val="EF64EA8F"/>
    <w:rsid w:val="EF6FB2F7"/>
    <w:rsid w:val="EF6FD97E"/>
    <w:rsid w:val="EF7722C5"/>
    <w:rsid w:val="EF7DE57D"/>
    <w:rsid w:val="EFEFC739"/>
    <w:rsid w:val="EFF7F75C"/>
    <w:rsid w:val="EFFBB13C"/>
    <w:rsid w:val="EFFBC2F1"/>
    <w:rsid w:val="EFFF5086"/>
    <w:rsid w:val="EFFFA4FD"/>
    <w:rsid w:val="F0FEB450"/>
    <w:rsid w:val="F24E75B0"/>
    <w:rsid w:val="F2BB079F"/>
    <w:rsid w:val="F2F9FA1A"/>
    <w:rsid w:val="F34705D8"/>
    <w:rsid w:val="F3E904BC"/>
    <w:rsid w:val="F3EB0ADF"/>
    <w:rsid w:val="F3F6E0E5"/>
    <w:rsid w:val="F3FED75F"/>
    <w:rsid w:val="F4663A79"/>
    <w:rsid w:val="F66B55AC"/>
    <w:rsid w:val="F677D152"/>
    <w:rsid w:val="F6F3C572"/>
    <w:rsid w:val="F6F877D7"/>
    <w:rsid w:val="F76F9C1C"/>
    <w:rsid w:val="F779924F"/>
    <w:rsid w:val="F77FDAA6"/>
    <w:rsid w:val="F7BFAA7C"/>
    <w:rsid w:val="F7C717A2"/>
    <w:rsid w:val="F7CE2E6F"/>
    <w:rsid w:val="F7CF138D"/>
    <w:rsid w:val="F7DF74C7"/>
    <w:rsid w:val="F7EA0612"/>
    <w:rsid w:val="F7F92B78"/>
    <w:rsid w:val="F7FF4F9D"/>
    <w:rsid w:val="F92F76DD"/>
    <w:rsid w:val="F9CE1D87"/>
    <w:rsid w:val="F9FC2701"/>
    <w:rsid w:val="FAB36346"/>
    <w:rsid w:val="FAD76739"/>
    <w:rsid w:val="FAFA3B04"/>
    <w:rsid w:val="FB1FD481"/>
    <w:rsid w:val="FB2F1B47"/>
    <w:rsid w:val="FB53D672"/>
    <w:rsid w:val="FB6F2738"/>
    <w:rsid w:val="FB6FE86E"/>
    <w:rsid w:val="FB7D7960"/>
    <w:rsid w:val="FBBEF630"/>
    <w:rsid w:val="FBBF50A2"/>
    <w:rsid w:val="FBBF5C3C"/>
    <w:rsid w:val="FBCC0913"/>
    <w:rsid w:val="FBECAE99"/>
    <w:rsid w:val="FBED3C7E"/>
    <w:rsid w:val="FBEDF3D0"/>
    <w:rsid w:val="FBFC62C5"/>
    <w:rsid w:val="FBFD096B"/>
    <w:rsid w:val="FCDD2DCD"/>
    <w:rsid w:val="FD7F21E3"/>
    <w:rsid w:val="FD7F2DB4"/>
    <w:rsid w:val="FD7FF875"/>
    <w:rsid w:val="FD9A62F9"/>
    <w:rsid w:val="FDAB67F8"/>
    <w:rsid w:val="FDAF49A3"/>
    <w:rsid w:val="FDBF679E"/>
    <w:rsid w:val="FDC1F836"/>
    <w:rsid w:val="FDCBB287"/>
    <w:rsid w:val="FDDE5929"/>
    <w:rsid w:val="FDE07CE8"/>
    <w:rsid w:val="FDEFDAF8"/>
    <w:rsid w:val="FDFA0820"/>
    <w:rsid w:val="FDFDC890"/>
    <w:rsid w:val="FDFF3AE9"/>
    <w:rsid w:val="FE7B062E"/>
    <w:rsid w:val="FE7DBB65"/>
    <w:rsid w:val="FE97EBA2"/>
    <w:rsid w:val="FEAE1161"/>
    <w:rsid w:val="FEB3FA9A"/>
    <w:rsid w:val="FEBD13D3"/>
    <w:rsid w:val="FEBF6255"/>
    <w:rsid w:val="FED7F167"/>
    <w:rsid w:val="FEF26BAB"/>
    <w:rsid w:val="FEF68C43"/>
    <w:rsid w:val="FEFDB5A6"/>
    <w:rsid w:val="FF296695"/>
    <w:rsid w:val="FF3B27F7"/>
    <w:rsid w:val="FF3D063D"/>
    <w:rsid w:val="FF7E044A"/>
    <w:rsid w:val="FF7E81CD"/>
    <w:rsid w:val="FF952974"/>
    <w:rsid w:val="FF9F88D7"/>
    <w:rsid w:val="FFA98086"/>
    <w:rsid w:val="FFAFF379"/>
    <w:rsid w:val="FFB6CF15"/>
    <w:rsid w:val="FFBD087F"/>
    <w:rsid w:val="FFBE2721"/>
    <w:rsid w:val="FFCB96EE"/>
    <w:rsid w:val="FFD50FB6"/>
    <w:rsid w:val="FFDD043E"/>
    <w:rsid w:val="FFDE7866"/>
    <w:rsid w:val="FFE97FA2"/>
    <w:rsid w:val="FFEF656D"/>
    <w:rsid w:val="FFEF8B6A"/>
    <w:rsid w:val="FFF3BCAF"/>
    <w:rsid w:val="FFF7ED43"/>
    <w:rsid w:val="FFF9F027"/>
    <w:rsid w:val="FFFB628B"/>
    <w:rsid w:val="FFFF1FFF"/>
    <w:rsid w:val="FFFFB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6" w:lineRule="auto"/>
      <w:jc w:val="center"/>
      <w:outlineLvl w:val="0"/>
    </w:pPr>
    <w:rPr>
      <w:rFonts w:ascii="Times New Roman" w:hAnsi="Times New Roman" w:eastAsia="方正公文小标宋" w:cs="Times New Roman"/>
      <w:kern w:val="44"/>
      <w:sz w:val="44"/>
      <w:szCs w:val="32"/>
    </w:rPr>
  </w:style>
  <w:style w:type="paragraph" w:styleId="3">
    <w:name w:val="heading 2"/>
    <w:basedOn w:val="1"/>
    <w:next w:val="1"/>
    <w:link w:val="25"/>
    <w:unhideWhenUsed/>
    <w:qFormat/>
    <w:uiPriority w:val="0"/>
    <w:pPr>
      <w:keepNext/>
      <w:numPr>
        <w:ilvl w:val="1"/>
        <w:numId w:val="1"/>
      </w:numPr>
      <w:spacing w:before="260" w:after="260" w:line="413" w:lineRule="auto"/>
      <w:jc w:val="center"/>
      <w:outlineLvl w:val="1"/>
    </w:pPr>
    <w:rPr>
      <w:rFonts w:ascii="Arial Bold" w:hAnsi="Arial Bold" w:eastAsia="黑体" w:cs="Times New Roman"/>
      <w:sz w:val="32"/>
      <w:szCs w:val="32"/>
    </w:rPr>
  </w:style>
  <w:style w:type="paragraph" w:styleId="4">
    <w:name w:val="heading 3"/>
    <w:basedOn w:val="1"/>
    <w:next w:val="1"/>
    <w:link w:val="24"/>
    <w:unhideWhenUsed/>
    <w:qFormat/>
    <w:uiPriority w:val="0"/>
    <w:pPr>
      <w:keepNext/>
      <w:numPr>
        <w:ilvl w:val="2"/>
        <w:numId w:val="1"/>
      </w:numPr>
      <w:spacing w:before="260" w:after="260" w:line="413" w:lineRule="auto"/>
      <w:jc w:val="center"/>
      <w:outlineLvl w:val="2"/>
    </w:pPr>
    <w:rPr>
      <w:rFonts w:ascii="Calibri" w:hAnsi="Calibri" w:eastAsia="楷体" w:cs="Times New Roman"/>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ody Text Indent 2"/>
    <w:basedOn w:val="1"/>
    <w:qFormat/>
    <w:uiPriority w:val="0"/>
    <w:pPr>
      <w:spacing w:after="120" w:line="480" w:lineRule="auto"/>
      <w:ind w:left="420" w:leftChars="200"/>
    </w:pPr>
    <w:rPr>
      <w:rFonts w:ascii="Times New Roman" w:hAnsi="Times New Roman" w:cs="Times New Roman"/>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rPr>
      <w:rFonts w:ascii="Times New Roman" w:hAnsi="Times New Roman" w:eastAsiaTheme="minorEastAsia"/>
    </w:rPr>
  </w:style>
  <w:style w:type="paragraph" w:styleId="13">
    <w:name w:val="Normal (Web)"/>
    <w:basedOn w:val="1"/>
    <w:qFormat/>
    <w:uiPriority w:val="0"/>
    <w:rPr>
      <w:sz w:val="2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正文1"/>
    <w:link w:val="28"/>
    <w:qFormat/>
    <w:uiPriority w:val="0"/>
    <w:pPr>
      <w:widowControl w:val="0"/>
      <w:spacing w:line="576" w:lineRule="exact"/>
      <w:ind w:firstLine="640" w:firstLineChars="200"/>
      <w:jc w:val="both"/>
    </w:pPr>
    <w:rPr>
      <w:rFonts w:hint="eastAsia" w:ascii="Times New Roman" w:hAnsi="Times New Roman" w:eastAsia="仿宋" w:cs="Times New Roman"/>
      <w:kern w:val="2"/>
      <w:sz w:val="32"/>
      <w:szCs w:val="40"/>
      <w:lang w:val="en-US" w:eastAsia="zh-CN" w:bidi="ar-SA"/>
    </w:rPr>
  </w:style>
  <w:style w:type="paragraph" w:customStyle="1" w:styleId="20">
    <w:name w:val="专栏标题"/>
    <w:basedOn w:val="1"/>
    <w:qFormat/>
    <w:uiPriority w:val="0"/>
    <w:pPr>
      <w:kinsoku w:val="0"/>
      <w:adjustRightInd w:val="0"/>
      <w:snapToGrid w:val="0"/>
      <w:spacing w:line="500" w:lineRule="exact"/>
      <w:ind w:firstLine="0" w:firstLineChars="0"/>
      <w:jc w:val="center"/>
      <w:textAlignment w:val="baseline"/>
    </w:pPr>
    <w:rPr>
      <w:rFonts w:ascii="Times New Roman" w:hAnsi="Times New Roman" w:eastAsia="楷体" w:cs="Times New Roman"/>
      <w:b/>
      <w:bCs/>
      <w:snapToGrid w:val="0"/>
      <w:color w:val="000000"/>
      <w:spacing w:val="-2"/>
      <w:kern w:val="0"/>
      <w:sz w:val="28"/>
      <w:szCs w:val="28"/>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专栏小标题"/>
    <w:basedOn w:val="1"/>
    <w:qFormat/>
    <w:uiPriority w:val="0"/>
    <w:pPr>
      <w:spacing w:line="300" w:lineRule="auto"/>
      <w:ind w:firstLine="422"/>
    </w:pPr>
    <w:rPr>
      <w:rFonts w:ascii="Times New Roman" w:hAnsi="Times New Roman" w:eastAsia="楷体_GB2312" w:cs="Times New Roman"/>
      <w:b/>
      <w:bCs/>
      <w:sz w:val="21"/>
      <w:szCs w:val="21"/>
    </w:rPr>
  </w:style>
  <w:style w:type="paragraph" w:customStyle="1" w:styleId="23">
    <w:name w:val="专栏正文"/>
    <w:basedOn w:val="1"/>
    <w:qFormat/>
    <w:uiPriority w:val="0"/>
    <w:pPr>
      <w:snapToGrid w:val="0"/>
      <w:spacing w:line="300" w:lineRule="auto"/>
      <w:ind w:firstLine="420"/>
    </w:pPr>
    <w:rPr>
      <w:rFonts w:ascii="楷体_GB2312" w:hAnsi="楷体_GB2312" w:eastAsia="楷体_GB2312" w:cs="Times New Roman"/>
      <w:sz w:val="21"/>
      <w:szCs w:val="21"/>
    </w:rPr>
  </w:style>
  <w:style w:type="character" w:customStyle="1" w:styleId="24">
    <w:name w:val="标题 3 Char"/>
    <w:link w:val="4"/>
    <w:qFormat/>
    <w:uiPriority w:val="0"/>
    <w:rPr>
      <w:rFonts w:ascii="Calibri" w:hAnsi="Calibri" w:eastAsia="楷体" w:cs="Times New Roman"/>
      <w:sz w:val="32"/>
      <w:szCs w:val="32"/>
    </w:rPr>
  </w:style>
  <w:style w:type="character" w:customStyle="1" w:styleId="25">
    <w:name w:val="标题 2 Char"/>
    <w:link w:val="3"/>
    <w:qFormat/>
    <w:uiPriority w:val="0"/>
    <w:rPr>
      <w:rFonts w:ascii="Arial Bold" w:hAnsi="Arial Bold" w:eastAsia="黑体" w:cs="Times New Roman"/>
      <w:sz w:val="32"/>
      <w:szCs w:val="32"/>
    </w:rPr>
  </w:style>
  <w:style w:type="character" w:customStyle="1" w:styleId="26">
    <w:name w:val="标题 1 Char"/>
    <w:link w:val="2"/>
    <w:qFormat/>
    <w:uiPriority w:val="0"/>
    <w:rPr>
      <w:rFonts w:ascii="Times New Roman" w:hAnsi="Times New Roman" w:eastAsia="方正公文小标宋" w:cs="Times New Roman"/>
      <w:kern w:val="44"/>
      <w:sz w:val="44"/>
      <w:szCs w:val="32"/>
    </w:rPr>
  </w:style>
  <w:style w:type="paragraph" w:customStyle="1" w:styleId="27">
    <w:name w:val="0616节标题"/>
    <w:qFormat/>
    <w:uiPriority w:val="0"/>
    <w:pPr>
      <w:spacing w:line="300" w:lineRule="auto"/>
      <w:ind w:firstLine="240" w:firstLineChars="100"/>
    </w:pPr>
    <w:rPr>
      <w:rFonts w:hint="eastAsia" w:ascii="方正楷体_GB2312" w:hAnsi="方正楷体_GB2312" w:eastAsia="方正楷体_GB2312" w:cs="Times New Roman"/>
      <w:color w:val="C00000"/>
      <w:sz w:val="22"/>
      <w:szCs w:val="22"/>
      <w:lang w:val="en-US" w:eastAsia="zh-CN" w:bidi="ar-SA"/>
    </w:rPr>
  </w:style>
  <w:style w:type="character" w:customStyle="1" w:styleId="28">
    <w:name w:val="正文1 Char"/>
    <w:link w:val="19"/>
    <w:qFormat/>
    <w:uiPriority w:val="0"/>
    <w:rPr>
      <w:rFonts w:hint="eastAsia" w:ascii="Times New Roman" w:hAnsi="Times New Roman" w:eastAsia="仿宋" w:cs="Times New Roman"/>
      <w:kern w:val="2"/>
      <w:sz w:val="32"/>
      <w:szCs w:val="4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69624</Words>
  <Characters>70350</Characters>
  <Lines>0</Lines>
  <Paragraphs>0</Paragraphs>
  <TotalTime>11</TotalTime>
  <ScaleCrop>false</ScaleCrop>
  <LinksUpToDate>false</LinksUpToDate>
  <CharactersWithSpaces>70570</CharactersWithSpaces>
  <Application>WPS Office_11.8.2.9479_F1E327BC-269C-435d-A152-05C5408002CA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2025-11-19T05:44:00Z</dcterms:created>
  <dc:creator>顺李成张</dc:creator>
  <cp:lastModifiedBy>ckj</cp:lastModifiedBy>
  <cp:lastPrinted>2026-06-16T14:26:00Z</cp:lastPrinted>
  <dcterms:modified xsi:type="dcterms:W3CDTF">2026-06-17T14:35:24Z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2052-11.8.2.9479</vt:lpwstr>
  </property>
  <property fmtid="{D5CDD505-2E9C-101B-9397-08002B2CF9AE}" pid="3" name="ICV">
    <vt:lpwstr>A814E2020F5843DAB7101E46EB6C9079_13</vt:lpwstr>
  </property>
  <property fmtid="{D5CDD505-2E9C-101B-9397-08002B2CF9AE}" pid="4" name="KSOTemplateDocerSaveRecord">
    <vt:lpwstr>eyJoZGlkIjoiZmJkNzY4MTc3NzU0NmNkMjNjYmQzOGVmMjM0ZDlmYWEiLCJ1c2VySWQiOiIyMTIwMjkwNzIifQ==</vt:lpwstr>
  </property>
</Properties>
</file>